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7B7C51" w14:textId="77777777" w:rsidR="00444FD3" w:rsidRPr="00573EF8" w:rsidRDefault="00444FD3" w:rsidP="003B4010">
      <w:pPr>
        <w:jc w:val="center"/>
        <w:rPr>
          <w:rFonts w:ascii="Traditional Arabic" w:hAnsi="Traditional Arabic"/>
          <w:b/>
          <w:bCs/>
          <w:sz w:val="32"/>
          <w:rtl/>
          <w:lang w:bidi="ar-EG"/>
        </w:rPr>
      </w:pPr>
      <w:r w:rsidRPr="00573EF8">
        <w:rPr>
          <w:rFonts w:ascii="Traditional Arabic" w:hAnsi="Traditional Arabic"/>
          <w:b/>
          <w:bCs/>
          <w:sz w:val="32"/>
          <w:rtl/>
          <w:lang w:bidi="ar-EG"/>
        </w:rPr>
        <w:t>قراءة في كتاب</w:t>
      </w:r>
    </w:p>
    <w:p w14:paraId="2B5D12DB" w14:textId="77777777" w:rsidR="005979FA" w:rsidRPr="00573EF8" w:rsidRDefault="00444FD3" w:rsidP="003B4010">
      <w:pPr>
        <w:jc w:val="center"/>
        <w:rPr>
          <w:rFonts w:ascii="Traditional Arabic" w:hAnsi="Traditional Arabic"/>
          <w:b/>
          <w:bCs/>
          <w:sz w:val="32"/>
          <w:rtl/>
          <w:lang w:bidi="ar-EG"/>
        </w:rPr>
      </w:pPr>
      <w:r w:rsidRPr="00573EF8">
        <w:rPr>
          <w:rFonts w:ascii="Traditional Arabic" w:hAnsi="Traditional Arabic"/>
          <w:b/>
          <w:bCs/>
          <w:sz w:val="32"/>
          <w:rtl/>
          <w:lang w:bidi="ar-EG"/>
        </w:rPr>
        <w:t>العقائدية وتفسير النص القرآني</w:t>
      </w:r>
    </w:p>
    <w:p w14:paraId="2CA936D3" w14:textId="77777777" w:rsidR="00444FD3" w:rsidRPr="00573EF8" w:rsidRDefault="00444FD3" w:rsidP="003B4010">
      <w:pPr>
        <w:jc w:val="center"/>
        <w:rPr>
          <w:rFonts w:ascii="Traditional Arabic" w:hAnsi="Traditional Arabic"/>
          <w:b/>
          <w:bCs/>
          <w:sz w:val="32"/>
          <w:rtl/>
          <w:lang w:bidi="ar-EG"/>
        </w:rPr>
      </w:pPr>
      <w:r w:rsidRPr="00573EF8">
        <w:rPr>
          <w:rFonts w:ascii="Traditional Arabic" w:hAnsi="Traditional Arabic"/>
          <w:b/>
          <w:bCs/>
          <w:sz w:val="32"/>
          <w:rtl/>
          <w:lang w:bidi="ar-EG"/>
        </w:rPr>
        <w:t>المناهج – الدوافع – الإشكاليات – المدونات</w:t>
      </w:r>
    </w:p>
    <w:p w14:paraId="72A8F944" w14:textId="77777777" w:rsidR="00444FD3" w:rsidRPr="00573EF8" w:rsidRDefault="00444FD3" w:rsidP="003B4010">
      <w:pPr>
        <w:jc w:val="center"/>
        <w:rPr>
          <w:rFonts w:ascii="Traditional Arabic" w:hAnsi="Traditional Arabic"/>
          <w:b/>
          <w:bCs/>
          <w:sz w:val="32"/>
          <w:rtl/>
          <w:lang w:bidi="ar-EG"/>
        </w:rPr>
      </w:pPr>
      <w:r w:rsidRPr="00573EF8">
        <w:rPr>
          <w:rFonts w:ascii="Traditional Arabic" w:hAnsi="Traditional Arabic"/>
          <w:b/>
          <w:bCs/>
          <w:sz w:val="32"/>
          <w:rtl/>
          <w:lang w:bidi="ar-EG"/>
        </w:rPr>
        <w:t>دراسة مقارنة</w:t>
      </w:r>
    </w:p>
    <w:p w14:paraId="18A4ECFC" w14:textId="77777777" w:rsidR="00137735" w:rsidRPr="00573EF8" w:rsidRDefault="00137735" w:rsidP="00573EF8">
      <w:pPr>
        <w:jc w:val="lowKashida"/>
        <w:rPr>
          <w:rFonts w:ascii="Traditional Arabic" w:hAnsi="Traditional Arabic"/>
          <w:sz w:val="32"/>
          <w:rtl/>
          <w:lang w:bidi="ar-EG"/>
        </w:rPr>
      </w:pPr>
    </w:p>
    <w:p w14:paraId="0A2443CF" w14:textId="77777777" w:rsidR="00137735" w:rsidRPr="00573EF8" w:rsidRDefault="00137735"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صدر عن مركز نماء للبحوث والدراسات (لعام 1437 هـ / 2016 م) كتاب "العقائدية وتفسير النص </w:t>
      </w:r>
      <w:proofErr w:type="gramStart"/>
      <w:r w:rsidRPr="00573EF8">
        <w:rPr>
          <w:rFonts w:ascii="Traditional Arabic" w:hAnsi="Traditional Arabic"/>
          <w:sz w:val="32"/>
          <w:rtl/>
          <w:lang w:bidi="ar-EG"/>
        </w:rPr>
        <w:t>القرآني .</w:t>
      </w:r>
      <w:proofErr w:type="gramEnd"/>
      <w:r w:rsidRPr="00573EF8">
        <w:rPr>
          <w:rFonts w:ascii="Traditional Arabic" w:hAnsi="Traditional Arabic"/>
          <w:sz w:val="32"/>
          <w:rtl/>
          <w:lang w:bidi="ar-EG"/>
        </w:rPr>
        <w:t xml:space="preserve">. المناهج – الدوافع – الإشكاليات – </w:t>
      </w:r>
      <w:proofErr w:type="gramStart"/>
      <w:r w:rsidRPr="00573EF8">
        <w:rPr>
          <w:rFonts w:ascii="Traditional Arabic" w:hAnsi="Traditional Arabic"/>
          <w:sz w:val="32"/>
          <w:rtl/>
          <w:lang w:bidi="ar-EG"/>
        </w:rPr>
        <w:t>المدونات .</w:t>
      </w:r>
      <w:proofErr w:type="gramEnd"/>
      <w:r w:rsidRPr="00573EF8">
        <w:rPr>
          <w:rFonts w:ascii="Traditional Arabic" w:hAnsi="Traditional Arabic"/>
          <w:sz w:val="32"/>
          <w:rtl/>
          <w:lang w:bidi="ar-EG"/>
        </w:rPr>
        <w:t>. دراسة مقارنة" للباحث الأستاذ/ ياسر المطرفي، وجاء الكتاب في (</w:t>
      </w:r>
      <w:r w:rsidR="007310EA" w:rsidRPr="00573EF8">
        <w:rPr>
          <w:rFonts w:ascii="Traditional Arabic" w:hAnsi="Traditional Arabic"/>
          <w:sz w:val="32"/>
          <w:rtl/>
          <w:lang w:bidi="ar-EG"/>
        </w:rPr>
        <w:t>792</w:t>
      </w:r>
      <w:r w:rsidRPr="00573EF8">
        <w:rPr>
          <w:rFonts w:ascii="Traditional Arabic" w:hAnsi="Traditional Arabic"/>
          <w:sz w:val="32"/>
          <w:rtl/>
          <w:lang w:bidi="ar-EG"/>
        </w:rPr>
        <w:t xml:space="preserve">) صفحة من القطع </w:t>
      </w:r>
      <w:proofErr w:type="gramStart"/>
      <w:r w:rsidRPr="00573EF8">
        <w:rPr>
          <w:rFonts w:ascii="Traditional Arabic" w:hAnsi="Traditional Arabic"/>
          <w:sz w:val="32"/>
          <w:rtl/>
          <w:lang w:bidi="ar-EG"/>
        </w:rPr>
        <w:t>المتوسط .</w:t>
      </w:r>
      <w:proofErr w:type="gramEnd"/>
    </w:p>
    <w:p w14:paraId="2C4A21E2" w14:textId="77777777" w:rsidR="00137735" w:rsidRPr="00573EF8" w:rsidRDefault="00137735"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وكان أصل </w:t>
      </w:r>
      <w:r w:rsidR="00B00AE9">
        <w:rPr>
          <w:rFonts w:ascii="Traditional Arabic" w:hAnsi="Traditional Arabic" w:hint="cs"/>
          <w:sz w:val="32"/>
          <w:rtl/>
          <w:lang w:bidi="ar-EG"/>
        </w:rPr>
        <w:t xml:space="preserve">هذا </w:t>
      </w:r>
      <w:r w:rsidRPr="00573EF8">
        <w:rPr>
          <w:rFonts w:ascii="Traditional Arabic" w:hAnsi="Traditional Arabic"/>
          <w:sz w:val="32"/>
          <w:rtl/>
          <w:lang w:bidi="ar-EG"/>
        </w:rPr>
        <w:t xml:space="preserve">الكتاب رسالة حصل بها الباحث على درجة الماجستير، ثم أعاد الباحث النظر في بحثه، ليقدمه بهذه الصورة التي نتمنى أن نعرض بعض جوانبها للقارئ </w:t>
      </w:r>
      <w:proofErr w:type="gramStart"/>
      <w:r w:rsidRPr="00573EF8">
        <w:rPr>
          <w:rFonts w:ascii="Traditional Arabic" w:hAnsi="Traditional Arabic"/>
          <w:sz w:val="32"/>
          <w:rtl/>
          <w:lang w:bidi="ar-EG"/>
        </w:rPr>
        <w:t>الكريم .</w:t>
      </w:r>
      <w:proofErr w:type="gramEnd"/>
    </w:p>
    <w:p w14:paraId="3302B218" w14:textId="77777777" w:rsidR="00FA4291" w:rsidRPr="00573EF8" w:rsidRDefault="00FA4291" w:rsidP="00573EF8">
      <w:pPr>
        <w:jc w:val="lowKashida"/>
        <w:rPr>
          <w:rFonts w:ascii="Traditional Arabic" w:hAnsi="Traditional Arabic"/>
          <w:sz w:val="32"/>
          <w:rtl/>
          <w:lang w:bidi="ar-EG"/>
        </w:rPr>
      </w:pPr>
    </w:p>
    <w:p w14:paraId="09771824" w14:textId="77777777" w:rsidR="00FA4291" w:rsidRPr="00573EF8" w:rsidRDefault="00137735" w:rsidP="00573EF8">
      <w:pPr>
        <w:jc w:val="lowKashida"/>
        <w:rPr>
          <w:rFonts w:ascii="Traditional Arabic" w:hAnsi="Traditional Arabic"/>
          <w:b/>
          <w:bCs/>
          <w:sz w:val="32"/>
          <w:rtl/>
          <w:lang w:bidi="ar-EG"/>
        </w:rPr>
      </w:pPr>
      <w:r w:rsidRPr="00573EF8">
        <w:rPr>
          <w:rFonts w:ascii="Traditional Arabic" w:hAnsi="Traditional Arabic"/>
          <w:b/>
          <w:bCs/>
          <w:sz w:val="32"/>
          <w:rtl/>
          <w:lang w:bidi="ar-EG"/>
        </w:rPr>
        <w:t>مدخل مفاهيمي</w:t>
      </w:r>
    </w:p>
    <w:p w14:paraId="38E5D341" w14:textId="77777777" w:rsidR="00FA4291" w:rsidRPr="00573EF8" w:rsidRDefault="0074762F"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لقد </w:t>
      </w:r>
      <w:r w:rsidR="00FA4291" w:rsidRPr="00573EF8">
        <w:rPr>
          <w:rFonts w:ascii="Traditional Arabic" w:hAnsi="Traditional Arabic"/>
          <w:sz w:val="32"/>
          <w:rtl/>
          <w:lang w:bidi="ar-EG"/>
        </w:rPr>
        <w:t xml:space="preserve">ظلت العقيدة - في صورتها الأولى - بعيدة عن كل خلاف، تتميز بالتأثير في سلوك الأفراد الذين تلقوها تلقيًا مباشرًا من صاحب الرسالة </w:t>
      </w:r>
      <w:r w:rsidRPr="00573EF8">
        <w:rPr>
          <w:rFonts w:ascii="Traditional Arabic" w:hAnsi="Traditional Arabic"/>
          <w:sz w:val="32"/>
          <w:rtl/>
          <w:lang w:bidi="ar-EG"/>
        </w:rPr>
        <w:t>-</w:t>
      </w:r>
      <w:r w:rsidR="00FA4291" w:rsidRPr="00573EF8">
        <w:rPr>
          <w:rFonts w:ascii="Traditional Arabic" w:hAnsi="Traditional Arabic"/>
          <w:sz w:val="32"/>
          <w:rtl/>
          <w:lang w:bidi="ar-EG"/>
        </w:rPr>
        <w:t xml:space="preserve"> صلى الله عليه وسلم </w:t>
      </w:r>
      <w:r w:rsidRPr="00573EF8">
        <w:rPr>
          <w:rFonts w:ascii="Traditional Arabic" w:hAnsi="Traditional Arabic"/>
          <w:sz w:val="32"/>
          <w:rtl/>
          <w:lang w:bidi="ar-EG"/>
        </w:rPr>
        <w:t>-</w:t>
      </w:r>
      <w:r w:rsidR="00FA4291" w:rsidRPr="00573EF8">
        <w:rPr>
          <w:rFonts w:ascii="Traditional Arabic" w:hAnsi="Traditional Arabic"/>
          <w:sz w:val="32"/>
          <w:rtl/>
          <w:lang w:bidi="ar-EG"/>
        </w:rPr>
        <w:t xml:space="preserve"> إلى أن نشب الخلاف بين أفراد الأمة، وكان أول خلاف عقائدي "</w:t>
      </w:r>
      <w:r w:rsidR="007310EA" w:rsidRPr="00573EF8">
        <w:rPr>
          <w:rFonts w:ascii="Traditional Arabic" w:hAnsi="Traditional Arabic"/>
          <w:sz w:val="32"/>
          <w:vertAlign w:val="superscript"/>
          <w:rtl/>
          <w:lang w:bidi="ar-EG"/>
        </w:rPr>
        <w:t>(</w:t>
      </w:r>
      <w:r w:rsidR="007310EA" w:rsidRPr="00573EF8">
        <w:rPr>
          <w:rStyle w:val="a4"/>
          <w:rFonts w:ascii="Traditional Arabic" w:hAnsi="Traditional Arabic"/>
          <w:sz w:val="32"/>
          <w:rtl/>
          <w:lang w:bidi="ar-EG"/>
        </w:rPr>
        <w:footnoteReference w:id="1"/>
      </w:r>
      <w:r w:rsidR="007310EA" w:rsidRPr="00573EF8">
        <w:rPr>
          <w:rFonts w:ascii="Traditional Arabic" w:hAnsi="Traditional Arabic"/>
          <w:sz w:val="32"/>
          <w:vertAlign w:val="superscript"/>
          <w:rtl/>
          <w:lang w:bidi="ar-EG"/>
        </w:rPr>
        <w:t>)</w:t>
      </w:r>
      <w:r w:rsidR="00FA4291" w:rsidRPr="00573EF8">
        <w:rPr>
          <w:rFonts w:ascii="Traditional Arabic" w:hAnsi="Traditional Arabic"/>
          <w:sz w:val="32"/>
          <w:rtl/>
          <w:lang w:bidi="ar-EG"/>
        </w:rPr>
        <w:t>في تاريخ الأمة على يد الخوارج، وحينها بدأت ملامح التحول في التعامل مع العقيدة تظهر تدريجيًا، وبدأ انتقال العقيدة من طور الانتماء (العام) إلى طور الانتماء (الخاص)، ومن طور التقرير المجمل إلى طور التقرير الجدلي، ومن طور العقيدة كأسس معرفية مسلمة يُؤسس عليها العمل وتُبنى عليها الحركة إلى طور الصراع حولها والعمل على إعادة تأسيسها، فكانت في المرحلة الأولى هي التي تُؤسِّس (تمارس التأسيس) وأصبحت في المرحلة التالية هي التي تُؤسَّس (يمارس عليها التأسيس)!".</w:t>
      </w:r>
    </w:p>
    <w:p w14:paraId="63E6249A"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lastRenderedPageBreak/>
        <w:t xml:space="preserve">"نعم؛ لقد تحولت العقيدة من ذلك التلقي النصي </w:t>
      </w:r>
      <w:proofErr w:type="spellStart"/>
      <w:r w:rsidRPr="00573EF8">
        <w:rPr>
          <w:rFonts w:ascii="Traditional Arabic" w:hAnsi="Traditional Arabic"/>
          <w:sz w:val="32"/>
          <w:rtl/>
          <w:lang w:bidi="ar-EG"/>
        </w:rPr>
        <w:t>التسليمي</w:t>
      </w:r>
      <w:proofErr w:type="spellEnd"/>
      <w:r w:rsidRPr="00573EF8">
        <w:rPr>
          <w:rFonts w:ascii="Traditional Arabic" w:hAnsi="Traditional Arabic"/>
          <w:sz w:val="32"/>
          <w:rtl/>
          <w:lang w:bidi="ar-EG"/>
        </w:rPr>
        <w:t xml:space="preserve"> المباشر لمباني الإسلام وأصول الإيمان إلى نسق فكري يظهر أحيانا في الدرس العقائدي </w:t>
      </w:r>
      <w:proofErr w:type="spellStart"/>
      <w:r w:rsidRPr="00573EF8">
        <w:rPr>
          <w:rFonts w:ascii="Traditional Arabic" w:hAnsi="Traditional Arabic"/>
          <w:sz w:val="32"/>
          <w:rtl/>
          <w:lang w:bidi="ar-EG"/>
        </w:rPr>
        <w:t>وتقريراته</w:t>
      </w:r>
      <w:proofErr w:type="spellEnd"/>
      <w:r w:rsidRPr="00573EF8">
        <w:rPr>
          <w:rFonts w:ascii="Traditional Arabic" w:hAnsi="Traditional Arabic"/>
          <w:sz w:val="32"/>
          <w:rtl/>
          <w:lang w:bidi="ar-EG"/>
        </w:rPr>
        <w:t xml:space="preserve"> عند حملة المذاهب والفرق والملل والنحل، ويستتر في علوم أخرى؛ ليعمل في الخفاء فتجد بذوره وآثاره في مدونات الأصول واللغة والتفسير كلما لاحت مناسبة أو عرضت إشكالية".</w:t>
      </w:r>
    </w:p>
    <w:p w14:paraId="0F17066F" w14:textId="77777777" w:rsidR="00FA4291" w:rsidRPr="00573EF8" w:rsidRDefault="0074762F" w:rsidP="00573EF8">
      <w:pPr>
        <w:jc w:val="lowKashida"/>
        <w:rPr>
          <w:rFonts w:ascii="Traditional Arabic" w:hAnsi="Traditional Arabic"/>
          <w:sz w:val="32"/>
          <w:rtl/>
          <w:lang w:bidi="ar-EG"/>
        </w:rPr>
      </w:pPr>
      <w:r w:rsidRPr="00573EF8">
        <w:rPr>
          <w:rFonts w:ascii="Traditional Arabic" w:hAnsi="Traditional Arabic"/>
          <w:sz w:val="32"/>
          <w:rtl/>
          <w:lang w:bidi="ar-EG"/>
        </w:rPr>
        <w:t>وهذا الانتقال للعقيدة هو الذي حدا بالمؤلف للتمييز بين الطور الأول، والذي سماه (العقيدة)، وبين الطور الثاني، والذي أطلق عليه مصطلح (العقائدية).</w:t>
      </w:r>
    </w:p>
    <w:p w14:paraId="015E85AD" w14:textId="77777777" w:rsidR="00137735" w:rsidRPr="00573EF8" w:rsidRDefault="00137735" w:rsidP="00573EF8">
      <w:pPr>
        <w:jc w:val="lowKashida"/>
        <w:rPr>
          <w:rFonts w:ascii="Traditional Arabic" w:hAnsi="Traditional Arabic"/>
          <w:sz w:val="32"/>
          <w:rtl/>
          <w:lang w:bidi="ar-EG"/>
        </w:rPr>
      </w:pPr>
      <w:r w:rsidRPr="00573EF8">
        <w:rPr>
          <w:rFonts w:ascii="Traditional Arabic" w:hAnsi="Traditional Arabic"/>
          <w:sz w:val="32"/>
          <w:rtl/>
          <w:lang w:bidi="ar-EG"/>
        </w:rPr>
        <w:t>وهذه العقائدية صارت أنساقًا حول مجموعة مقالا متعددة، بل تحولت إلى أنظمة عقائدية متكاملة لكل منها بنيته الخاصة، "</w:t>
      </w:r>
      <w:r w:rsidR="00FA4291" w:rsidRPr="00573EF8">
        <w:rPr>
          <w:rFonts w:ascii="Traditional Arabic" w:hAnsi="Traditional Arabic"/>
          <w:sz w:val="32"/>
          <w:rtl/>
          <w:lang w:bidi="ar-EG"/>
        </w:rPr>
        <w:t>لقد ألقى هذا التحول من العقيدة إلى العقائدية بظلاله على النص القرآني، فأصبحت كل طائفة من الطوائف تحاول أن تجد لها في هذا النص منزعًا استدلاليًا تتوصل من خلاله إلى تأسيس مشروعية مقولاتها العقائدية، فتجعل خصمها منازعًا للقرآن وهي الموافقة له</w:t>
      </w:r>
      <w:r w:rsidRPr="00573EF8">
        <w:rPr>
          <w:rFonts w:ascii="Traditional Arabic" w:hAnsi="Traditional Arabic"/>
          <w:sz w:val="32"/>
          <w:rtl/>
          <w:lang w:bidi="ar-EG"/>
        </w:rPr>
        <w:t>".</w:t>
      </w:r>
    </w:p>
    <w:p w14:paraId="223AFDEA" w14:textId="77777777" w:rsidR="00137735" w:rsidRPr="00573EF8" w:rsidRDefault="00137735"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ودلل المؤلف على الوعي المبكر لدى العلماء بآثار ما سماه </w:t>
      </w:r>
      <w:r w:rsidR="00BF005F" w:rsidRPr="00573EF8">
        <w:rPr>
          <w:rFonts w:ascii="Traditional Arabic" w:hAnsi="Traditional Arabic"/>
          <w:sz w:val="32"/>
          <w:rtl/>
          <w:lang w:bidi="ar-EG"/>
        </w:rPr>
        <w:t>(</w:t>
      </w:r>
      <w:r w:rsidRPr="00573EF8">
        <w:rPr>
          <w:rFonts w:ascii="Traditional Arabic" w:hAnsi="Traditional Arabic"/>
          <w:sz w:val="32"/>
          <w:rtl/>
          <w:lang w:bidi="ar-EG"/>
        </w:rPr>
        <w:t>العقائدية</w:t>
      </w:r>
      <w:proofErr w:type="gramStart"/>
      <w:r w:rsidR="00BF005F" w:rsidRPr="00573EF8">
        <w:rPr>
          <w:rFonts w:ascii="Traditional Arabic" w:hAnsi="Traditional Arabic"/>
          <w:sz w:val="32"/>
          <w:rtl/>
          <w:lang w:bidi="ar-EG"/>
        </w:rPr>
        <w:t>) .</w:t>
      </w:r>
      <w:proofErr w:type="gramEnd"/>
    </w:p>
    <w:p w14:paraId="4C2BB919" w14:textId="77777777" w:rsidR="00FA4291" w:rsidRPr="00573EF8" w:rsidRDefault="00BF005F"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وأما أهمية تتبع دراسة (العقائدية) في التفسير، فقد أجاب عنه المؤلف ببيان علاقة النص بالنص المفسر، وبالمفسِّر، وبالمدونة </w:t>
      </w:r>
      <w:proofErr w:type="gramStart"/>
      <w:r w:rsidRPr="00573EF8">
        <w:rPr>
          <w:rFonts w:ascii="Traditional Arabic" w:hAnsi="Traditional Arabic"/>
          <w:sz w:val="32"/>
          <w:rtl/>
          <w:lang w:bidi="ar-EG"/>
        </w:rPr>
        <w:t>التفسيرية .</w:t>
      </w:r>
      <w:proofErr w:type="gramEnd"/>
    </w:p>
    <w:p w14:paraId="4468D72D" w14:textId="77777777" w:rsidR="00BF005F" w:rsidRPr="00573EF8" w:rsidRDefault="00BF005F" w:rsidP="00573EF8">
      <w:pPr>
        <w:jc w:val="lowKashida"/>
        <w:rPr>
          <w:rFonts w:ascii="Traditional Arabic" w:hAnsi="Traditional Arabic"/>
          <w:sz w:val="32"/>
          <w:rtl/>
          <w:lang w:bidi="ar-EG"/>
        </w:rPr>
      </w:pPr>
    </w:p>
    <w:p w14:paraId="0513A87A" w14:textId="77777777" w:rsidR="00FA4291" w:rsidRPr="00573EF8" w:rsidRDefault="00FA4291" w:rsidP="00573EF8">
      <w:pPr>
        <w:jc w:val="lowKashida"/>
        <w:rPr>
          <w:rFonts w:ascii="Traditional Arabic" w:hAnsi="Traditional Arabic"/>
          <w:b/>
          <w:bCs/>
          <w:sz w:val="32"/>
          <w:rtl/>
          <w:lang w:bidi="ar-EG"/>
        </w:rPr>
      </w:pPr>
      <w:r w:rsidRPr="00573EF8">
        <w:rPr>
          <w:rFonts w:ascii="Traditional Arabic" w:hAnsi="Traditional Arabic"/>
          <w:b/>
          <w:bCs/>
          <w:sz w:val="32"/>
          <w:rtl/>
          <w:lang w:bidi="ar-EG"/>
        </w:rPr>
        <w:t>اشتغال العقائدية في التفسير</w:t>
      </w:r>
      <w:r w:rsidR="00BF005F" w:rsidRPr="00573EF8">
        <w:rPr>
          <w:rFonts w:ascii="Traditional Arabic" w:hAnsi="Traditional Arabic"/>
          <w:b/>
          <w:bCs/>
          <w:sz w:val="32"/>
          <w:rtl/>
          <w:lang w:bidi="ar-EG"/>
        </w:rPr>
        <w:t xml:space="preserve"> </w:t>
      </w:r>
      <w:r w:rsidRPr="00573EF8">
        <w:rPr>
          <w:rFonts w:ascii="Traditional Arabic" w:hAnsi="Traditional Arabic"/>
          <w:b/>
          <w:bCs/>
          <w:sz w:val="32"/>
          <w:rtl/>
          <w:lang w:bidi="ar-EG"/>
        </w:rPr>
        <w:t>(الدوافع - الآليات - المكونات</w:t>
      </w:r>
      <w:r w:rsidR="00BF005F" w:rsidRPr="00573EF8">
        <w:rPr>
          <w:rFonts w:ascii="Traditional Arabic" w:hAnsi="Traditional Arabic"/>
          <w:b/>
          <w:bCs/>
          <w:sz w:val="32"/>
          <w:rtl/>
          <w:lang w:bidi="ar-EG"/>
        </w:rPr>
        <w:t>)</w:t>
      </w:r>
    </w:p>
    <w:p w14:paraId="5E32FC9A" w14:textId="77777777" w:rsidR="00FA4291" w:rsidRPr="00573EF8" w:rsidRDefault="00BF005F"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اشتمل هذا القسم الأول من الكتاب على </w:t>
      </w:r>
      <w:r w:rsidR="00FA4291" w:rsidRPr="00573EF8">
        <w:rPr>
          <w:rFonts w:ascii="Traditional Arabic" w:hAnsi="Traditional Arabic"/>
          <w:sz w:val="32"/>
          <w:rtl/>
          <w:lang w:bidi="ar-EG"/>
        </w:rPr>
        <w:t>مدخل</w:t>
      </w:r>
      <w:r w:rsidRPr="00573EF8">
        <w:rPr>
          <w:rFonts w:ascii="Traditional Arabic" w:hAnsi="Traditional Arabic"/>
          <w:sz w:val="32"/>
          <w:rtl/>
          <w:lang w:bidi="ar-EG"/>
        </w:rPr>
        <w:t xml:space="preserve"> تحدث فيه المؤلف عن </w:t>
      </w:r>
      <w:r w:rsidR="00FA4291" w:rsidRPr="00573EF8">
        <w:rPr>
          <w:rFonts w:ascii="Traditional Arabic" w:hAnsi="Traditional Arabic"/>
          <w:sz w:val="32"/>
          <w:rtl/>
          <w:lang w:bidi="ar-EG"/>
        </w:rPr>
        <w:t>مرجعيَّة القرآن كأساسٍ لحضور النزعة العقائديَّة في التفسير</w:t>
      </w:r>
      <w:r w:rsidRPr="00573EF8">
        <w:rPr>
          <w:rFonts w:ascii="Traditional Arabic" w:hAnsi="Traditional Arabic"/>
          <w:sz w:val="32"/>
          <w:rtl/>
          <w:lang w:bidi="ar-EG"/>
        </w:rPr>
        <w:t xml:space="preserve">، فتفسير النص القرآني كان ولا يزال أحد أهم مساحات الحجاج العقائدي بين </w:t>
      </w:r>
      <w:proofErr w:type="gramStart"/>
      <w:r w:rsidRPr="00573EF8">
        <w:rPr>
          <w:rFonts w:ascii="Traditional Arabic" w:hAnsi="Traditional Arabic"/>
          <w:sz w:val="32"/>
          <w:rtl/>
          <w:lang w:bidi="ar-EG"/>
        </w:rPr>
        <w:t>الطوائف .</w:t>
      </w:r>
      <w:proofErr w:type="gramEnd"/>
    </w:p>
    <w:p w14:paraId="65118732" w14:textId="77777777" w:rsidR="00BF005F" w:rsidRPr="00573EF8" w:rsidRDefault="00BF005F" w:rsidP="00573EF8">
      <w:pPr>
        <w:jc w:val="lowKashida"/>
        <w:rPr>
          <w:rFonts w:ascii="Traditional Arabic" w:hAnsi="Traditional Arabic"/>
          <w:sz w:val="32"/>
          <w:rtl/>
          <w:lang w:bidi="ar-EG"/>
        </w:rPr>
      </w:pPr>
    </w:p>
    <w:p w14:paraId="6C7C6E8A" w14:textId="77777777" w:rsidR="000A01ED" w:rsidRPr="00573EF8" w:rsidRDefault="00B00AE9" w:rsidP="00573EF8">
      <w:pPr>
        <w:jc w:val="lowKashida"/>
        <w:rPr>
          <w:rFonts w:ascii="Traditional Arabic" w:hAnsi="Traditional Arabic"/>
          <w:sz w:val="32"/>
          <w:rtl/>
          <w:lang w:bidi="ar-EG"/>
        </w:rPr>
      </w:pPr>
      <w:r>
        <w:rPr>
          <w:rFonts w:ascii="Traditional Arabic" w:hAnsi="Traditional Arabic" w:hint="cs"/>
          <w:sz w:val="32"/>
          <w:rtl/>
          <w:lang w:bidi="ar-EG"/>
        </w:rPr>
        <w:t xml:space="preserve">وقد </w:t>
      </w:r>
      <w:r w:rsidR="00BF005F" w:rsidRPr="00573EF8">
        <w:rPr>
          <w:rFonts w:ascii="Traditional Arabic" w:hAnsi="Traditional Arabic"/>
          <w:sz w:val="32"/>
          <w:rtl/>
          <w:lang w:bidi="ar-EG"/>
        </w:rPr>
        <w:t>استقرأ المؤلف</w:t>
      </w:r>
      <w:r>
        <w:rPr>
          <w:rFonts w:ascii="Traditional Arabic" w:hAnsi="Traditional Arabic" w:hint="cs"/>
          <w:sz w:val="32"/>
          <w:rtl/>
          <w:lang w:bidi="ar-EG"/>
        </w:rPr>
        <w:t xml:space="preserve"> لذلك</w:t>
      </w:r>
      <w:r w:rsidR="00BF005F" w:rsidRPr="00573EF8">
        <w:rPr>
          <w:rFonts w:ascii="Traditional Arabic" w:hAnsi="Traditional Arabic"/>
          <w:sz w:val="32"/>
          <w:rtl/>
          <w:lang w:bidi="ar-EG"/>
        </w:rPr>
        <w:t xml:space="preserve"> أربعة من كتب التفسير، وهي: </w:t>
      </w:r>
      <w:r w:rsidR="00FA4291" w:rsidRPr="00573EF8">
        <w:rPr>
          <w:rFonts w:ascii="Traditional Arabic" w:hAnsi="Traditional Arabic"/>
          <w:sz w:val="32"/>
          <w:rtl/>
          <w:lang w:bidi="ar-EG"/>
        </w:rPr>
        <w:t xml:space="preserve">(السمعاني - القشيري - ابن عطية - </w:t>
      </w:r>
      <w:proofErr w:type="spellStart"/>
      <w:r w:rsidR="00FA4291" w:rsidRPr="00573EF8">
        <w:rPr>
          <w:rFonts w:ascii="Traditional Arabic" w:hAnsi="Traditional Arabic"/>
          <w:sz w:val="32"/>
          <w:rtl/>
          <w:lang w:bidi="ar-EG"/>
        </w:rPr>
        <w:t>الطبرسي</w:t>
      </w:r>
      <w:proofErr w:type="spellEnd"/>
      <w:r w:rsidR="00FA4291" w:rsidRPr="00573EF8">
        <w:rPr>
          <w:rFonts w:ascii="Traditional Arabic" w:hAnsi="Traditional Arabic"/>
          <w:sz w:val="32"/>
          <w:rtl/>
          <w:lang w:bidi="ar-EG"/>
        </w:rPr>
        <w:t>)،</w:t>
      </w:r>
      <w:r w:rsidR="00BF005F" w:rsidRPr="00573EF8">
        <w:rPr>
          <w:rFonts w:ascii="Traditional Arabic" w:hAnsi="Traditional Arabic"/>
          <w:sz w:val="32"/>
          <w:rtl/>
          <w:lang w:bidi="ar-EG"/>
        </w:rPr>
        <w:t xml:space="preserve"> وهي تفاسير تنتمي لاتجاهات عقدية مختلفة، تمثل (أهل الحديث – المتكلمين – والصوفية وتنتهي بالاتجاه الشيعي)، ولم يغفل المؤلف الاتجاه الفلسفي</w:t>
      </w:r>
      <w:r w:rsidR="000A01ED" w:rsidRPr="00573EF8">
        <w:rPr>
          <w:rFonts w:ascii="Traditional Arabic" w:hAnsi="Traditional Arabic"/>
          <w:sz w:val="32"/>
          <w:rtl/>
          <w:lang w:bidi="ar-EG"/>
        </w:rPr>
        <w:t xml:space="preserve"> </w:t>
      </w:r>
      <w:proofErr w:type="gramStart"/>
      <w:r w:rsidR="000A01ED" w:rsidRPr="00573EF8">
        <w:rPr>
          <w:rFonts w:ascii="Traditional Arabic" w:hAnsi="Traditional Arabic"/>
          <w:sz w:val="32"/>
          <w:rtl/>
          <w:lang w:bidi="ar-EG"/>
        </w:rPr>
        <w:t>كذلك .</w:t>
      </w:r>
      <w:proofErr w:type="gramEnd"/>
    </w:p>
    <w:p w14:paraId="7CA99B1E" w14:textId="77777777" w:rsidR="00FA4291" w:rsidRPr="00573EF8" w:rsidRDefault="000A01ED" w:rsidP="00573EF8">
      <w:pPr>
        <w:jc w:val="lowKashida"/>
        <w:rPr>
          <w:rFonts w:ascii="Traditional Arabic" w:hAnsi="Traditional Arabic"/>
          <w:sz w:val="32"/>
          <w:rtl/>
          <w:lang w:bidi="ar-EG"/>
        </w:rPr>
      </w:pPr>
      <w:r w:rsidRPr="00573EF8">
        <w:rPr>
          <w:rFonts w:ascii="Traditional Arabic" w:hAnsi="Traditional Arabic"/>
          <w:sz w:val="32"/>
          <w:rtl/>
          <w:lang w:bidi="ar-EG"/>
        </w:rPr>
        <w:lastRenderedPageBreak/>
        <w:t>وقد اعتمد المؤلف تقسيم دوافع الاشتغال إلى أقسام ثلاثة:</w:t>
      </w:r>
    </w:p>
    <w:p w14:paraId="11B0B8D3" w14:textId="77777777" w:rsidR="000A01ED" w:rsidRPr="00573EF8" w:rsidRDefault="000A01ED"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القسم الأول: دوافع الاشتغال </w:t>
      </w:r>
      <w:proofErr w:type="gramStart"/>
      <w:r w:rsidRPr="00573EF8">
        <w:rPr>
          <w:rFonts w:ascii="Traditional Arabic" w:hAnsi="Traditional Arabic"/>
          <w:sz w:val="32"/>
          <w:rtl/>
          <w:lang w:bidi="ar-EG"/>
        </w:rPr>
        <w:t>الضرورية .</w:t>
      </w:r>
      <w:proofErr w:type="gramEnd"/>
    </w:p>
    <w:p w14:paraId="43AF31EC" w14:textId="77777777" w:rsidR="000A01ED" w:rsidRPr="00573EF8" w:rsidRDefault="000A01ED"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القسم الثاني: دوافع الاشتغال </w:t>
      </w:r>
      <w:proofErr w:type="spellStart"/>
      <w:proofErr w:type="gramStart"/>
      <w:r w:rsidR="00EF4175" w:rsidRPr="00573EF8">
        <w:rPr>
          <w:rFonts w:ascii="Traditional Arabic" w:hAnsi="Traditional Arabic"/>
          <w:sz w:val="32"/>
          <w:rtl/>
          <w:lang w:bidi="ar-EG"/>
        </w:rPr>
        <w:t>الحاجية</w:t>
      </w:r>
      <w:proofErr w:type="spellEnd"/>
      <w:r w:rsidR="00EF4175" w:rsidRPr="00573EF8">
        <w:rPr>
          <w:rFonts w:ascii="Traditional Arabic" w:hAnsi="Traditional Arabic"/>
          <w:sz w:val="32"/>
          <w:rtl/>
          <w:lang w:bidi="ar-EG"/>
        </w:rPr>
        <w:t xml:space="preserve"> .</w:t>
      </w:r>
      <w:proofErr w:type="gramEnd"/>
    </w:p>
    <w:p w14:paraId="331AF836" w14:textId="77777777" w:rsidR="00EF4175" w:rsidRPr="00573EF8" w:rsidRDefault="00EF4175"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القسم الثالث: دوافع الاشتغال </w:t>
      </w:r>
      <w:proofErr w:type="gramStart"/>
      <w:r w:rsidRPr="00573EF8">
        <w:rPr>
          <w:rFonts w:ascii="Traditional Arabic" w:hAnsi="Traditional Arabic"/>
          <w:sz w:val="32"/>
          <w:rtl/>
          <w:lang w:bidi="ar-EG"/>
        </w:rPr>
        <w:t>التكميلية .</w:t>
      </w:r>
      <w:proofErr w:type="gramEnd"/>
    </w:p>
    <w:p w14:paraId="2CB1026A" w14:textId="77777777" w:rsidR="00EF4175" w:rsidRPr="00573EF8" w:rsidRDefault="00FD53F3"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 </w:t>
      </w:r>
      <w:r w:rsidR="00EF4175" w:rsidRPr="00573EF8">
        <w:rPr>
          <w:rFonts w:ascii="Traditional Arabic" w:hAnsi="Traditional Arabic"/>
          <w:sz w:val="32"/>
          <w:rtl/>
          <w:lang w:bidi="ar-EG"/>
        </w:rPr>
        <w:t xml:space="preserve">أما الدوافع الضرورية فتتلخص في اهتمام المفسر بتأسيس معتقده على مرجعية النص القرآني، وذلك بربط العقائد بمرجعية القرآن، وهي ما أطلق عليه المؤلف (التأصيل)، ثم دفع ما يعارض هذا التأصيل، ثم </w:t>
      </w:r>
      <w:r w:rsidR="00FA4291" w:rsidRPr="00573EF8">
        <w:rPr>
          <w:rFonts w:ascii="Traditional Arabic" w:hAnsi="Traditional Arabic"/>
          <w:sz w:val="32"/>
          <w:rtl/>
          <w:lang w:bidi="ar-EG"/>
        </w:rPr>
        <w:t xml:space="preserve">تفعيل </w:t>
      </w:r>
      <w:r w:rsidR="00EF4175" w:rsidRPr="00573EF8">
        <w:rPr>
          <w:rFonts w:ascii="Traditional Arabic" w:hAnsi="Traditional Arabic"/>
          <w:sz w:val="32"/>
          <w:rtl/>
          <w:lang w:bidi="ar-EG"/>
        </w:rPr>
        <w:t xml:space="preserve">تلك </w:t>
      </w:r>
      <w:r w:rsidR="00FA4291" w:rsidRPr="00573EF8">
        <w:rPr>
          <w:rFonts w:ascii="Traditional Arabic" w:hAnsi="Traditional Arabic"/>
          <w:sz w:val="32"/>
          <w:rtl/>
          <w:lang w:bidi="ar-EG"/>
        </w:rPr>
        <w:t>المقولات في تفسير النص بعد تأصيلها</w:t>
      </w:r>
      <w:r w:rsidR="00EF4175" w:rsidRPr="00573EF8">
        <w:rPr>
          <w:rFonts w:ascii="Traditional Arabic" w:hAnsi="Traditional Arabic"/>
          <w:sz w:val="32"/>
          <w:rtl/>
          <w:lang w:bidi="ar-EG"/>
        </w:rPr>
        <w:t>.</w:t>
      </w:r>
    </w:p>
    <w:p w14:paraId="1DB66B56" w14:textId="77777777" w:rsidR="00FD53F3" w:rsidRPr="00573EF8" w:rsidRDefault="00FD53F3"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 </w:t>
      </w:r>
      <w:r w:rsidR="007310EA" w:rsidRPr="00573EF8">
        <w:rPr>
          <w:rFonts w:ascii="Traditional Arabic" w:hAnsi="Traditional Arabic"/>
          <w:sz w:val="32"/>
          <w:rtl/>
          <w:lang w:bidi="ar-EG"/>
        </w:rPr>
        <w:t xml:space="preserve">وتتلخص الدوافع </w:t>
      </w:r>
      <w:proofErr w:type="spellStart"/>
      <w:r w:rsidRPr="00573EF8">
        <w:rPr>
          <w:rFonts w:ascii="Traditional Arabic" w:hAnsi="Traditional Arabic"/>
          <w:sz w:val="32"/>
          <w:rtl/>
          <w:lang w:bidi="ar-EG"/>
        </w:rPr>
        <w:t>الحاجية</w:t>
      </w:r>
      <w:proofErr w:type="spellEnd"/>
      <w:r w:rsidRPr="00573EF8">
        <w:rPr>
          <w:rFonts w:ascii="Traditional Arabic" w:hAnsi="Traditional Arabic"/>
          <w:sz w:val="32"/>
          <w:rtl/>
          <w:lang w:bidi="ar-EG"/>
        </w:rPr>
        <w:t xml:space="preserve"> في اهتمام المفسر بمدافعة المخالفين له في المعتقد، بمعنى: "</w:t>
      </w:r>
      <w:r w:rsidR="00FA4291" w:rsidRPr="00573EF8">
        <w:rPr>
          <w:rFonts w:ascii="Traditional Arabic" w:hAnsi="Traditional Arabic"/>
          <w:sz w:val="32"/>
          <w:rtl/>
          <w:lang w:bidi="ar-EG"/>
        </w:rPr>
        <w:t>سحب المشروعية من تفاسير المخالفين لتثبيت مشروعية تفسيره دون غيره</w:t>
      </w:r>
      <w:r w:rsidRPr="00573EF8">
        <w:rPr>
          <w:rFonts w:ascii="Traditional Arabic" w:hAnsi="Traditional Arabic"/>
          <w:sz w:val="32"/>
          <w:rtl/>
          <w:lang w:bidi="ar-EG"/>
        </w:rPr>
        <w:t xml:space="preserve"> ... </w:t>
      </w:r>
      <w:r w:rsidR="00FA4291" w:rsidRPr="00573EF8">
        <w:rPr>
          <w:rFonts w:ascii="Traditional Arabic" w:hAnsi="Traditional Arabic"/>
          <w:sz w:val="32"/>
          <w:rtl/>
          <w:lang w:bidi="ar-EG"/>
        </w:rPr>
        <w:t>ويحفز المفسـر نحو هذه المدافعة أربعة دوافع، هي: نقض مقولاتهم من خلال الاستدلال بعدد من الآيات في ذلك، أو تضعيف استدلالاتهم ببعض الآيات، أو التحذير منهم، أو تنزيل بعض الآيات عليهم</w:t>
      </w:r>
      <w:r w:rsidRPr="00573EF8">
        <w:rPr>
          <w:rFonts w:ascii="Traditional Arabic" w:hAnsi="Traditional Arabic"/>
          <w:sz w:val="32"/>
          <w:rtl/>
          <w:lang w:bidi="ar-EG"/>
        </w:rPr>
        <w:t>".</w:t>
      </w:r>
    </w:p>
    <w:p w14:paraId="7A407903" w14:textId="77777777" w:rsidR="00FA4291" w:rsidRPr="00573EF8" w:rsidRDefault="00FD53F3"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 أما </w:t>
      </w:r>
      <w:r w:rsidR="00FA4291" w:rsidRPr="00573EF8">
        <w:rPr>
          <w:rFonts w:ascii="Traditional Arabic" w:hAnsi="Traditional Arabic"/>
          <w:sz w:val="32"/>
          <w:rtl/>
          <w:lang w:bidi="ar-EG"/>
        </w:rPr>
        <w:t>دوافع الاشتغال التكميلية</w:t>
      </w:r>
      <w:r w:rsidRPr="00573EF8">
        <w:rPr>
          <w:rFonts w:ascii="Traditional Arabic" w:hAnsi="Traditional Arabic"/>
          <w:sz w:val="32"/>
          <w:rtl/>
          <w:lang w:bidi="ar-EG"/>
        </w:rPr>
        <w:t xml:space="preserve">، فتتلخص في </w:t>
      </w:r>
      <w:r w:rsidR="009D27B1" w:rsidRPr="00573EF8">
        <w:rPr>
          <w:rFonts w:ascii="Traditional Arabic" w:hAnsi="Traditional Arabic"/>
          <w:sz w:val="32"/>
          <w:rtl/>
          <w:lang w:bidi="ar-EG"/>
        </w:rPr>
        <w:t xml:space="preserve">المساحات </w:t>
      </w:r>
      <w:proofErr w:type="spellStart"/>
      <w:r w:rsidR="009D27B1" w:rsidRPr="00573EF8">
        <w:rPr>
          <w:rFonts w:ascii="Traditional Arabic" w:hAnsi="Traditional Arabic"/>
          <w:sz w:val="32"/>
          <w:rtl/>
          <w:lang w:bidi="ar-EG"/>
        </w:rPr>
        <w:t>الحجاجية</w:t>
      </w:r>
      <w:proofErr w:type="spellEnd"/>
      <w:r w:rsidR="009D27B1" w:rsidRPr="00573EF8">
        <w:rPr>
          <w:rFonts w:ascii="Traditional Arabic" w:hAnsi="Traditional Arabic"/>
          <w:sz w:val="32"/>
          <w:rtl/>
          <w:lang w:bidi="ar-EG"/>
        </w:rPr>
        <w:t xml:space="preserve"> التي تصنف من باب التتميم والاستطراد العلمي، كإيراد بعض المسائل لأجل محاكاة من ذكرها من أهل التفسير، وغير ذلك من </w:t>
      </w:r>
      <w:proofErr w:type="gramStart"/>
      <w:r w:rsidR="009D27B1" w:rsidRPr="00573EF8">
        <w:rPr>
          <w:rFonts w:ascii="Traditional Arabic" w:hAnsi="Traditional Arabic"/>
          <w:sz w:val="32"/>
          <w:rtl/>
          <w:lang w:bidi="ar-EG"/>
        </w:rPr>
        <w:t>الوجوه .</w:t>
      </w:r>
      <w:proofErr w:type="gramEnd"/>
    </w:p>
    <w:p w14:paraId="166F5FD4" w14:textId="77777777" w:rsidR="009D27B1" w:rsidRPr="00573EF8" w:rsidRDefault="009D27B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وقد اعتنى المؤلف – كما هي عادته – بإيراد الشواهد التي تعزز تنظيره من تصرفات </w:t>
      </w:r>
      <w:proofErr w:type="gramStart"/>
      <w:r w:rsidRPr="00573EF8">
        <w:rPr>
          <w:rFonts w:ascii="Traditional Arabic" w:hAnsi="Traditional Arabic"/>
          <w:sz w:val="32"/>
          <w:rtl/>
          <w:lang w:bidi="ar-EG"/>
        </w:rPr>
        <w:t>المفسرين .</w:t>
      </w:r>
      <w:proofErr w:type="gramEnd"/>
    </w:p>
    <w:p w14:paraId="49BC05AE" w14:textId="77777777" w:rsidR="009D27B1" w:rsidRPr="00573EF8" w:rsidRDefault="009D27B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 وبعد أن حدد المؤلف مستويات اشتغال تلك النزعة العقائدية، والدوافع التي تدفع نحوها= بين الآليات التي من خلالها استطاعت تلك الطوائف الاستدلال بتلك النصوص بالرغم من تباين الموقف </w:t>
      </w:r>
      <w:proofErr w:type="gramStart"/>
      <w:r w:rsidRPr="00573EF8">
        <w:rPr>
          <w:rFonts w:ascii="Traditional Arabic" w:hAnsi="Traditional Arabic"/>
          <w:sz w:val="32"/>
          <w:rtl/>
          <w:lang w:bidi="ar-EG"/>
        </w:rPr>
        <w:t>بينها .</w:t>
      </w:r>
      <w:proofErr w:type="gramEnd"/>
    </w:p>
    <w:p w14:paraId="4D32D0DB" w14:textId="77777777" w:rsidR="00FA4291" w:rsidRPr="00573EF8" w:rsidRDefault="009D27B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وذكر أن </w:t>
      </w:r>
      <w:r w:rsidR="00FA4291" w:rsidRPr="00573EF8">
        <w:rPr>
          <w:rFonts w:ascii="Traditional Arabic" w:hAnsi="Traditional Arabic"/>
          <w:sz w:val="32"/>
          <w:rtl/>
          <w:lang w:bidi="ar-EG"/>
        </w:rPr>
        <w:t>آليات اشتغال العقائدية في التفسير</w:t>
      </w:r>
      <w:r w:rsidRPr="00573EF8">
        <w:rPr>
          <w:rFonts w:ascii="Traditional Arabic" w:hAnsi="Traditional Arabic"/>
          <w:sz w:val="32"/>
          <w:rtl/>
          <w:lang w:bidi="ar-EG"/>
        </w:rPr>
        <w:t xml:space="preserve"> </w:t>
      </w:r>
      <w:r w:rsidR="00FA4291" w:rsidRPr="00573EF8">
        <w:rPr>
          <w:rFonts w:ascii="Traditional Arabic" w:hAnsi="Traditional Arabic"/>
          <w:sz w:val="32"/>
          <w:rtl/>
          <w:lang w:bidi="ar-EG"/>
        </w:rPr>
        <w:t xml:space="preserve">تتلخَّص في أمرين، واحدة تتحكم في نظام التفكير أثناء التفسير، وثانية تتحكم في نظام الممارسة التطبيقية. </w:t>
      </w:r>
    </w:p>
    <w:p w14:paraId="318349EF"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lastRenderedPageBreak/>
        <w:t xml:space="preserve">فالأولى التي تؤثر في نظام العقل العقائدي في التفسير هي: الانطلاق من العقائد إلى النص، أي: إنَّ العقائد تأتي أولًا، ثم التفسير يأتي </w:t>
      </w:r>
      <w:proofErr w:type="gramStart"/>
      <w:r w:rsidRPr="00573EF8">
        <w:rPr>
          <w:rFonts w:ascii="Traditional Arabic" w:hAnsi="Traditional Arabic"/>
          <w:sz w:val="32"/>
          <w:rtl/>
          <w:lang w:bidi="ar-EG"/>
        </w:rPr>
        <w:t>ثانيًا .</w:t>
      </w:r>
      <w:proofErr w:type="gramEnd"/>
      <w:r w:rsidRPr="00573EF8">
        <w:rPr>
          <w:rFonts w:ascii="Traditional Arabic" w:hAnsi="Traditional Arabic"/>
          <w:sz w:val="32"/>
          <w:rtl/>
          <w:lang w:bidi="ar-EG"/>
        </w:rPr>
        <w:t xml:space="preserve"> </w:t>
      </w:r>
    </w:p>
    <w:p w14:paraId="14B830A4"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والثاني</w:t>
      </w:r>
      <w:r w:rsidR="009D27B1" w:rsidRPr="00573EF8">
        <w:rPr>
          <w:rFonts w:ascii="Traditional Arabic" w:hAnsi="Traditional Arabic"/>
          <w:sz w:val="32"/>
          <w:rtl/>
          <w:lang w:bidi="ar-EG"/>
        </w:rPr>
        <w:t>ة</w:t>
      </w:r>
      <w:r w:rsidRPr="00573EF8">
        <w:rPr>
          <w:rFonts w:ascii="Traditional Arabic" w:hAnsi="Traditional Arabic"/>
          <w:sz w:val="32"/>
          <w:rtl/>
          <w:lang w:bidi="ar-EG"/>
        </w:rPr>
        <w:t xml:space="preserve"> هي: التحول من البحث عن المعنى المراد في النص إلى البحث عن المعنى الممكن </w:t>
      </w:r>
      <w:proofErr w:type="gramStart"/>
      <w:r w:rsidRPr="00573EF8">
        <w:rPr>
          <w:rFonts w:ascii="Traditional Arabic" w:hAnsi="Traditional Arabic"/>
          <w:sz w:val="32"/>
          <w:rtl/>
          <w:lang w:bidi="ar-EG"/>
        </w:rPr>
        <w:t>فيه .</w:t>
      </w:r>
      <w:proofErr w:type="gramEnd"/>
      <w:r w:rsidRPr="00573EF8">
        <w:rPr>
          <w:rFonts w:ascii="Traditional Arabic" w:hAnsi="Traditional Arabic"/>
          <w:sz w:val="32"/>
          <w:rtl/>
          <w:lang w:bidi="ar-EG"/>
        </w:rPr>
        <w:t xml:space="preserve"> </w:t>
      </w:r>
    </w:p>
    <w:p w14:paraId="792EBCBF" w14:textId="77777777" w:rsidR="009D27B1" w:rsidRPr="00573EF8" w:rsidRDefault="009D27B1" w:rsidP="00573EF8">
      <w:pPr>
        <w:jc w:val="lowKashida"/>
        <w:rPr>
          <w:rFonts w:ascii="Traditional Arabic" w:hAnsi="Traditional Arabic"/>
          <w:sz w:val="32"/>
          <w:rtl/>
          <w:lang w:bidi="ar-EG"/>
        </w:rPr>
      </w:pPr>
    </w:p>
    <w:p w14:paraId="110BDBEF" w14:textId="77777777" w:rsidR="00FA4291" w:rsidRPr="00573EF8" w:rsidRDefault="009D27B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 وعن </w:t>
      </w:r>
      <w:r w:rsidR="00FA4291" w:rsidRPr="00573EF8">
        <w:rPr>
          <w:rFonts w:ascii="Traditional Arabic" w:hAnsi="Traditional Arabic"/>
          <w:sz w:val="32"/>
          <w:rtl/>
          <w:lang w:bidi="ar-EG"/>
        </w:rPr>
        <w:t>مكونات اشتغال العقائدية في الاستدلال بالنص</w:t>
      </w:r>
      <w:r w:rsidRPr="00573EF8">
        <w:rPr>
          <w:rFonts w:ascii="Traditional Arabic" w:hAnsi="Traditional Arabic"/>
          <w:sz w:val="32"/>
          <w:rtl/>
          <w:lang w:bidi="ar-EG"/>
        </w:rPr>
        <w:t>، بين المؤلف أنه "</w:t>
      </w:r>
      <w:r w:rsidR="00FA4291" w:rsidRPr="00573EF8">
        <w:rPr>
          <w:rFonts w:ascii="Traditional Arabic" w:hAnsi="Traditional Arabic"/>
          <w:sz w:val="32"/>
          <w:rtl/>
          <w:lang w:bidi="ar-EG"/>
        </w:rPr>
        <w:t xml:space="preserve">إذا تم تفكيك هذه الاستدلالات العقائدية عند مختلف الطوائف، سنجد أنَّها مؤلفة من </w:t>
      </w:r>
      <w:proofErr w:type="gramStart"/>
      <w:r w:rsidR="00FA4291" w:rsidRPr="00573EF8">
        <w:rPr>
          <w:rFonts w:ascii="Traditional Arabic" w:hAnsi="Traditional Arabic"/>
          <w:sz w:val="32"/>
          <w:rtl/>
          <w:lang w:bidi="ar-EG"/>
        </w:rPr>
        <w:t>ثلاثة</w:t>
      </w:r>
      <w:proofErr w:type="gramEnd"/>
      <w:r w:rsidR="00FA4291" w:rsidRPr="00573EF8">
        <w:rPr>
          <w:rFonts w:ascii="Traditional Arabic" w:hAnsi="Traditional Arabic"/>
          <w:sz w:val="32"/>
          <w:rtl/>
          <w:lang w:bidi="ar-EG"/>
        </w:rPr>
        <w:t xml:space="preserve"> مكونات: </w:t>
      </w:r>
    </w:p>
    <w:p w14:paraId="0F010CB6"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المكون الأول: الدليل، وهو النص الذي يقصده المفسر لاستنباط المسألة العقائدية </w:t>
      </w:r>
      <w:proofErr w:type="gramStart"/>
      <w:r w:rsidRPr="00573EF8">
        <w:rPr>
          <w:rFonts w:ascii="Traditional Arabic" w:hAnsi="Traditional Arabic"/>
          <w:sz w:val="32"/>
          <w:rtl/>
          <w:lang w:bidi="ar-EG"/>
        </w:rPr>
        <w:t>منه .</w:t>
      </w:r>
      <w:proofErr w:type="gramEnd"/>
      <w:r w:rsidRPr="00573EF8">
        <w:rPr>
          <w:rFonts w:ascii="Traditional Arabic" w:hAnsi="Traditional Arabic"/>
          <w:sz w:val="32"/>
          <w:rtl/>
          <w:lang w:bidi="ar-EG"/>
        </w:rPr>
        <w:t xml:space="preserve"> </w:t>
      </w:r>
    </w:p>
    <w:p w14:paraId="36514E07"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المكون الثاني: المدلول، وهو المسألة العقائدية التي يتبنَّاها المفسر قبل مباشرته </w:t>
      </w:r>
      <w:proofErr w:type="gramStart"/>
      <w:r w:rsidRPr="00573EF8">
        <w:rPr>
          <w:rFonts w:ascii="Traditional Arabic" w:hAnsi="Traditional Arabic"/>
          <w:sz w:val="32"/>
          <w:rtl/>
          <w:lang w:bidi="ar-EG"/>
        </w:rPr>
        <w:t>للتفسير .</w:t>
      </w:r>
      <w:proofErr w:type="gramEnd"/>
      <w:r w:rsidRPr="00573EF8">
        <w:rPr>
          <w:rFonts w:ascii="Traditional Arabic" w:hAnsi="Traditional Arabic"/>
          <w:sz w:val="32"/>
          <w:rtl/>
          <w:lang w:bidi="ar-EG"/>
        </w:rPr>
        <w:t xml:space="preserve"> </w:t>
      </w:r>
    </w:p>
    <w:p w14:paraId="682B26F3"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المكون الثالث: الاستدلال، وهو عملية الربط التي أجراها المفسر بين الدليل والمدلول، من أجل أن يستنبط من الآية ما يؤكد صحة مقولاته</w:t>
      </w:r>
      <w:proofErr w:type="gramStart"/>
      <w:r w:rsidR="009D27B1" w:rsidRPr="00573EF8">
        <w:rPr>
          <w:rFonts w:ascii="Traditional Arabic" w:hAnsi="Traditional Arabic"/>
          <w:sz w:val="32"/>
          <w:rtl/>
          <w:lang w:bidi="ar-EG"/>
        </w:rPr>
        <w:t>" .</w:t>
      </w:r>
      <w:proofErr w:type="gramEnd"/>
    </w:p>
    <w:p w14:paraId="5A823242" w14:textId="77777777" w:rsidR="00FA4291" w:rsidRPr="00573EF8" w:rsidRDefault="009D27B1" w:rsidP="00573EF8">
      <w:pPr>
        <w:jc w:val="lowKashida"/>
        <w:rPr>
          <w:rFonts w:ascii="Traditional Arabic" w:hAnsi="Traditional Arabic"/>
          <w:sz w:val="32"/>
          <w:rtl/>
          <w:lang w:bidi="ar-EG"/>
        </w:rPr>
      </w:pPr>
      <w:r w:rsidRPr="00573EF8">
        <w:rPr>
          <w:rFonts w:ascii="Traditional Arabic" w:hAnsi="Traditional Arabic"/>
          <w:sz w:val="32"/>
          <w:rtl/>
          <w:lang w:bidi="ar-EG"/>
        </w:rPr>
        <w:t>وإذا كان الدليل عند جميع تلك الطوائف صحيحًا، فإن البحث ينصرف إلى العلاقة بين المدلول والاستدلال، وهي – فيما يرى المؤلف – تأخذ الأشكال التالية:</w:t>
      </w:r>
      <w:r w:rsidR="00FA4291" w:rsidRPr="00573EF8">
        <w:rPr>
          <w:rFonts w:ascii="Traditional Arabic" w:hAnsi="Traditional Arabic"/>
          <w:sz w:val="32"/>
          <w:rtl/>
          <w:lang w:bidi="ar-EG"/>
        </w:rPr>
        <w:t xml:space="preserve"> </w:t>
      </w:r>
    </w:p>
    <w:p w14:paraId="4FCF0317"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الشكل الأول: علاقة الاتصال </w:t>
      </w:r>
      <w:proofErr w:type="gramStart"/>
      <w:r w:rsidRPr="00573EF8">
        <w:rPr>
          <w:rFonts w:ascii="Traditional Arabic" w:hAnsi="Traditional Arabic"/>
          <w:sz w:val="32"/>
          <w:rtl/>
          <w:lang w:bidi="ar-EG"/>
        </w:rPr>
        <w:t>التام</w:t>
      </w:r>
      <w:r w:rsidR="009D27B1" w:rsidRPr="00573EF8">
        <w:rPr>
          <w:rFonts w:ascii="Traditional Arabic" w:hAnsi="Traditional Arabic"/>
          <w:sz w:val="32"/>
          <w:rtl/>
          <w:lang w:bidi="ar-EG"/>
        </w:rPr>
        <w:t xml:space="preserve"> .</w:t>
      </w:r>
      <w:proofErr w:type="gramEnd"/>
    </w:p>
    <w:p w14:paraId="53B65F86"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الشكل الثاني: علاقة الانفصال </w:t>
      </w:r>
      <w:proofErr w:type="gramStart"/>
      <w:r w:rsidRPr="00573EF8">
        <w:rPr>
          <w:rFonts w:ascii="Traditional Arabic" w:hAnsi="Traditional Arabic"/>
          <w:sz w:val="32"/>
          <w:rtl/>
          <w:lang w:bidi="ar-EG"/>
        </w:rPr>
        <w:t>التام</w:t>
      </w:r>
      <w:r w:rsidR="000F3782" w:rsidRPr="00573EF8">
        <w:rPr>
          <w:rFonts w:ascii="Traditional Arabic" w:hAnsi="Traditional Arabic"/>
          <w:sz w:val="32"/>
          <w:rtl/>
          <w:lang w:bidi="ar-EG"/>
        </w:rPr>
        <w:t xml:space="preserve"> </w:t>
      </w:r>
      <w:r w:rsidR="009D27B1" w:rsidRPr="00573EF8">
        <w:rPr>
          <w:rFonts w:ascii="Traditional Arabic" w:hAnsi="Traditional Arabic"/>
          <w:sz w:val="32"/>
          <w:rtl/>
          <w:lang w:bidi="ar-EG"/>
        </w:rPr>
        <w:t>.</w:t>
      </w:r>
      <w:proofErr w:type="gramEnd"/>
    </w:p>
    <w:p w14:paraId="167B6D2D"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الشكل الثالث: علاقة الانفصال </w:t>
      </w:r>
      <w:proofErr w:type="gramStart"/>
      <w:r w:rsidRPr="00573EF8">
        <w:rPr>
          <w:rFonts w:ascii="Traditional Arabic" w:hAnsi="Traditional Arabic"/>
          <w:sz w:val="32"/>
          <w:rtl/>
          <w:lang w:bidi="ar-EG"/>
        </w:rPr>
        <w:t>الجزئي</w:t>
      </w:r>
      <w:r w:rsidR="009D27B1" w:rsidRPr="00573EF8">
        <w:rPr>
          <w:rFonts w:ascii="Traditional Arabic" w:hAnsi="Traditional Arabic"/>
          <w:sz w:val="32"/>
          <w:rtl/>
          <w:lang w:bidi="ar-EG"/>
        </w:rPr>
        <w:t xml:space="preserve"> .</w:t>
      </w:r>
      <w:proofErr w:type="gramEnd"/>
    </w:p>
    <w:p w14:paraId="1818147E" w14:textId="77777777" w:rsidR="000F3782" w:rsidRPr="00573EF8" w:rsidRDefault="000F3782" w:rsidP="00573EF8">
      <w:pPr>
        <w:jc w:val="lowKashida"/>
        <w:rPr>
          <w:rFonts w:ascii="Traditional Arabic" w:hAnsi="Traditional Arabic"/>
          <w:sz w:val="32"/>
          <w:rtl/>
          <w:lang w:bidi="ar-EG"/>
        </w:rPr>
      </w:pPr>
      <w:r w:rsidRPr="00573EF8">
        <w:rPr>
          <w:rFonts w:ascii="Traditional Arabic" w:hAnsi="Traditional Arabic"/>
          <w:sz w:val="32"/>
          <w:rtl/>
          <w:lang w:bidi="ar-EG"/>
        </w:rPr>
        <w:t>- "</w:t>
      </w:r>
      <w:r w:rsidR="00FA4291" w:rsidRPr="00573EF8">
        <w:rPr>
          <w:rFonts w:ascii="Traditional Arabic" w:hAnsi="Traditional Arabic"/>
          <w:sz w:val="32"/>
          <w:rtl/>
          <w:lang w:bidi="ar-EG"/>
        </w:rPr>
        <w:t>وما قِيل في العلاقة ما بين المدلول والاستدلال عند بناء المقولات العقائدية، يمكن أن يُقال في العلاقة ما بين الرد العقائدي والاستدلال على صحة هذا الرد</w:t>
      </w:r>
      <w:r w:rsidRPr="00573EF8">
        <w:rPr>
          <w:rFonts w:ascii="Traditional Arabic" w:hAnsi="Traditional Arabic"/>
          <w:sz w:val="32"/>
          <w:rtl/>
          <w:lang w:bidi="ar-EG"/>
        </w:rPr>
        <w:t>".</w:t>
      </w:r>
    </w:p>
    <w:p w14:paraId="6ED6E1A3" w14:textId="77777777" w:rsidR="000F3782" w:rsidRPr="00573EF8" w:rsidRDefault="000F3782" w:rsidP="00573EF8">
      <w:pPr>
        <w:jc w:val="lowKashida"/>
        <w:rPr>
          <w:rFonts w:ascii="Traditional Arabic" w:hAnsi="Traditional Arabic"/>
          <w:sz w:val="32"/>
          <w:rtl/>
          <w:lang w:bidi="ar-EG"/>
        </w:rPr>
      </w:pPr>
      <w:r w:rsidRPr="00573EF8">
        <w:rPr>
          <w:rFonts w:ascii="Traditional Arabic" w:hAnsi="Traditional Arabic"/>
          <w:sz w:val="32"/>
          <w:rtl/>
          <w:lang w:bidi="ar-EG"/>
        </w:rPr>
        <w:t>وبهذا ينتهي القسم الأول من الكتاب، ليبدأ القسم الثاني، وهو:</w:t>
      </w:r>
    </w:p>
    <w:p w14:paraId="449B2F70" w14:textId="77777777" w:rsidR="00FA4291" w:rsidRPr="00573EF8" w:rsidRDefault="000F3782" w:rsidP="00573EF8">
      <w:pPr>
        <w:jc w:val="lowKashida"/>
        <w:rPr>
          <w:rFonts w:ascii="Traditional Arabic" w:hAnsi="Traditional Arabic"/>
          <w:sz w:val="32"/>
          <w:rtl/>
          <w:lang w:bidi="ar-EG"/>
        </w:rPr>
      </w:pPr>
      <w:r w:rsidRPr="00573EF8">
        <w:rPr>
          <w:rFonts w:ascii="Traditional Arabic" w:hAnsi="Traditional Arabic"/>
          <w:sz w:val="32"/>
          <w:rtl/>
          <w:lang w:bidi="ar-EG"/>
        </w:rPr>
        <w:t>"</w:t>
      </w:r>
      <w:r w:rsidR="00FA4291" w:rsidRPr="00573EF8">
        <w:rPr>
          <w:rFonts w:ascii="Traditional Arabic" w:hAnsi="Traditional Arabic"/>
          <w:sz w:val="32"/>
          <w:rtl/>
          <w:lang w:bidi="ar-EG"/>
        </w:rPr>
        <w:t>الْـمَنَاهِجُ الْعَقَائِدِيَّةُ فِي التَّفْسِيرِ الْقُرْآنِيِّ</w:t>
      </w:r>
      <w:r w:rsidRPr="00573EF8">
        <w:rPr>
          <w:rFonts w:ascii="Traditional Arabic" w:hAnsi="Traditional Arabic"/>
          <w:sz w:val="32"/>
          <w:rtl/>
          <w:lang w:bidi="ar-EG"/>
        </w:rPr>
        <w:t>".</w:t>
      </w:r>
    </w:p>
    <w:p w14:paraId="1077B408" w14:textId="77777777" w:rsidR="00FA4291" w:rsidRPr="00573EF8" w:rsidRDefault="000F3782" w:rsidP="00573EF8">
      <w:pPr>
        <w:jc w:val="lowKashida"/>
        <w:rPr>
          <w:rFonts w:ascii="Traditional Arabic" w:hAnsi="Traditional Arabic"/>
          <w:sz w:val="32"/>
          <w:rtl/>
          <w:lang w:bidi="ar-EG"/>
        </w:rPr>
      </w:pPr>
      <w:r w:rsidRPr="00573EF8">
        <w:rPr>
          <w:rFonts w:ascii="Traditional Arabic" w:hAnsi="Traditional Arabic"/>
          <w:sz w:val="32"/>
          <w:rtl/>
          <w:lang w:bidi="ar-EG"/>
        </w:rPr>
        <w:lastRenderedPageBreak/>
        <w:t xml:space="preserve">وتحدث فيه المؤلف عن التفسير القرآني ما قبل العقائدية، وعن </w:t>
      </w:r>
      <w:r w:rsidR="00FA4291" w:rsidRPr="00573EF8">
        <w:rPr>
          <w:rFonts w:ascii="Traditional Arabic" w:hAnsi="Traditional Arabic"/>
          <w:sz w:val="32"/>
          <w:rtl/>
          <w:lang w:bidi="ar-EG"/>
        </w:rPr>
        <w:t>أثر التحول نحو العقائدية على حركة تفسير النص القرآني</w:t>
      </w:r>
      <w:r w:rsidRPr="00573EF8">
        <w:rPr>
          <w:rFonts w:ascii="Traditional Arabic" w:hAnsi="Traditional Arabic"/>
          <w:sz w:val="32"/>
          <w:rtl/>
          <w:lang w:bidi="ar-EG"/>
        </w:rPr>
        <w:t xml:space="preserve">، وجعل المؤلف عصر </w:t>
      </w:r>
      <w:r w:rsidR="00FA4291" w:rsidRPr="00573EF8">
        <w:rPr>
          <w:rFonts w:ascii="Traditional Arabic" w:hAnsi="Traditional Arabic"/>
          <w:sz w:val="32"/>
          <w:rtl/>
          <w:lang w:bidi="ar-EG"/>
        </w:rPr>
        <w:t xml:space="preserve">علي بن أبي طالب - رضي الله عنه </w:t>
      </w:r>
      <w:r w:rsidRPr="00573EF8">
        <w:rPr>
          <w:rFonts w:ascii="Traditional Arabic" w:hAnsi="Traditional Arabic"/>
          <w:sz w:val="32"/>
          <w:rtl/>
          <w:lang w:bidi="ar-EG"/>
        </w:rPr>
        <w:t>–</w:t>
      </w:r>
      <w:r w:rsidR="00FA4291" w:rsidRPr="00573EF8">
        <w:rPr>
          <w:rFonts w:ascii="Traditional Arabic" w:hAnsi="Traditional Arabic"/>
          <w:sz w:val="32"/>
          <w:rtl/>
          <w:lang w:bidi="ar-EG"/>
        </w:rPr>
        <w:t xml:space="preserve"> </w:t>
      </w:r>
      <w:r w:rsidRPr="00573EF8">
        <w:rPr>
          <w:rFonts w:ascii="Traditional Arabic" w:hAnsi="Traditional Arabic"/>
          <w:sz w:val="32"/>
          <w:rtl/>
          <w:lang w:bidi="ar-EG"/>
        </w:rPr>
        <w:t>نقطة التحول "</w:t>
      </w:r>
      <w:r w:rsidR="00FA4291" w:rsidRPr="00573EF8">
        <w:rPr>
          <w:rFonts w:ascii="Traditional Arabic" w:hAnsi="Traditional Arabic"/>
          <w:sz w:val="32"/>
          <w:rtl/>
          <w:lang w:bidi="ar-EG"/>
        </w:rPr>
        <w:t xml:space="preserve">مع ظهور أول جدل عقائدي على يد الخوارج الذين غلو في ظواهر النصوص، ثم أخذ الأمر في التطور تدريجيًّا، فيظهر بعد ذلك المنهج الباطني </w:t>
      </w:r>
      <w:proofErr w:type="spellStart"/>
      <w:r w:rsidR="00FA4291" w:rsidRPr="00573EF8">
        <w:rPr>
          <w:rFonts w:ascii="Traditional Arabic" w:hAnsi="Traditional Arabic"/>
          <w:sz w:val="32"/>
          <w:rtl/>
          <w:lang w:bidi="ar-EG"/>
        </w:rPr>
        <w:t>مغاليًا</w:t>
      </w:r>
      <w:proofErr w:type="spellEnd"/>
      <w:r w:rsidR="00FA4291" w:rsidRPr="00573EF8">
        <w:rPr>
          <w:rFonts w:ascii="Traditional Arabic" w:hAnsi="Traditional Arabic"/>
          <w:sz w:val="32"/>
          <w:rtl/>
          <w:lang w:bidi="ar-EG"/>
        </w:rPr>
        <w:t xml:space="preserve"> في التأويل، ثم المنهج الكلامي، وانتهى أخيرًا إلى تشكل المنهج الفلسفي آخر هذه المناهج التأويلية ظهورًا، وعلى ذلك استقرت المناهج تقريبًا إلى بداية العصـر الحديث الذي بدأ فيه احتكاك المسلمين بالحضارة الغربية، فأفرز ذلك مناهج تأويلية حديثة أخذت أشكالًا جديدة غير المناهج التأويلية التراثية</w:t>
      </w:r>
      <w:r w:rsidRPr="00573EF8">
        <w:rPr>
          <w:rFonts w:ascii="Traditional Arabic" w:hAnsi="Traditional Arabic"/>
          <w:sz w:val="32"/>
          <w:rtl/>
          <w:lang w:bidi="ar-EG"/>
        </w:rPr>
        <w:t xml:space="preserve">"، كما أجاب الباحث عن بعض الإشكالات التي قد ترد على هذا </w:t>
      </w:r>
      <w:proofErr w:type="spellStart"/>
      <w:r w:rsidRPr="00573EF8">
        <w:rPr>
          <w:rFonts w:ascii="Traditional Arabic" w:hAnsi="Traditional Arabic"/>
          <w:sz w:val="32"/>
          <w:rtl/>
          <w:lang w:bidi="ar-EG"/>
        </w:rPr>
        <w:t>التحقيب</w:t>
      </w:r>
      <w:proofErr w:type="spellEnd"/>
      <w:r w:rsidRPr="00573EF8">
        <w:rPr>
          <w:rFonts w:ascii="Traditional Arabic" w:hAnsi="Traditional Arabic"/>
          <w:sz w:val="32"/>
          <w:rtl/>
          <w:lang w:bidi="ar-EG"/>
        </w:rPr>
        <w:t xml:space="preserve"> .</w:t>
      </w:r>
    </w:p>
    <w:p w14:paraId="5B42504D" w14:textId="77777777" w:rsidR="00FA4291" w:rsidRPr="00573EF8" w:rsidRDefault="000F3782" w:rsidP="00573EF8">
      <w:pPr>
        <w:jc w:val="lowKashida"/>
        <w:rPr>
          <w:rFonts w:ascii="Traditional Arabic" w:hAnsi="Traditional Arabic"/>
          <w:sz w:val="32"/>
          <w:rtl/>
          <w:lang w:bidi="ar-EG"/>
        </w:rPr>
      </w:pPr>
      <w:r w:rsidRPr="00573EF8">
        <w:rPr>
          <w:rFonts w:ascii="Traditional Arabic" w:hAnsi="Traditional Arabic"/>
          <w:sz w:val="32"/>
          <w:rtl/>
          <w:lang w:bidi="ar-EG"/>
        </w:rPr>
        <w:t>وفي رصد أهم معالم التطور الحاصل في ملامح الحركة التفسيرية، ذكر عدة جوانب:</w:t>
      </w:r>
      <w:r w:rsidR="00FA4291" w:rsidRPr="00573EF8">
        <w:rPr>
          <w:rFonts w:ascii="Traditional Arabic" w:hAnsi="Traditional Arabic"/>
          <w:sz w:val="32"/>
          <w:rtl/>
          <w:lang w:bidi="ar-EG"/>
        </w:rPr>
        <w:t xml:space="preserve"> </w:t>
      </w:r>
    </w:p>
    <w:p w14:paraId="1A0F790F" w14:textId="77777777" w:rsidR="000F3782"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الجانب الأول: ظهور التساؤلات العقائدية حول </w:t>
      </w:r>
      <w:proofErr w:type="gramStart"/>
      <w:r w:rsidRPr="00573EF8">
        <w:rPr>
          <w:rFonts w:ascii="Traditional Arabic" w:hAnsi="Traditional Arabic"/>
          <w:sz w:val="32"/>
          <w:rtl/>
          <w:lang w:bidi="ar-EG"/>
        </w:rPr>
        <w:t>النص</w:t>
      </w:r>
      <w:r w:rsidR="000F3782" w:rsidRPr="00573EF8">
        <w:rPr>
          <w:rFonts w:ascii="Traditional Arabic" w:hAnsi="Traditional Arabic"/>
          <w:sz w:val="32"/>
          <w:rtl/>
          <w:lang w:bidi="ar-EG"/>
        </w:rPr>
        <w:t xml:space="preserve"> .</w:t>
      </w:r>
      <w:proofErr w:type="gramEnd"/>
    </w:p>
    <w:p w14:paraId="5EA3FB2E" w14:textId="77777777" w:rsidR="000F3782"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الجانب الثاني: تشكل ملامح الخلاف المنهجي العقائدي في تفسير </w:t>
      </w:r>
      <w:proofErr w:type="gramStart"/>
      <w:r w:rsidRPr="00573EF8">
        <w:rPr>
          <w:rFonts w:ascii="Traditional Arabic" w:hAnsi="Traditional Arabic"/>
          <w:sz w:val="32"/>
          <w:rtl/>
          <w:lang w:bidi="ar-EG"/>
        </w:rPr>
        <w:t>النص</w:t>
      </w:r>
      <w:r w:rsidR="000F3782" w:rsidRPr="00573EF8">
        <w:rPr>
          <w:rFonts w:ascii="Traditional Arabic" w:hAnsi="Traditional Arabic"/>
          <w:sz w:val="32"/>
          <w:rtl/>
          <w:lang w:bidi="ar-EG"/>
        </w:rPr>
        <w:t xml:space="preserve"> .</w:t>
      </w:r>
      <w:proofErr w:type="gramEnd"/>
    </w:p>
    <w:p w14:paraId="53E7FF88" w14:textId="77777777" w:rsidR="000F3782"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الجانب الثالث: ظهور أوائل محاولات توظيف النص القرآني والاستدلال به في معالجة الجدل العقائدي</w:t>
      </w:r>
      <w:r w:rsidR="000F3782" w:rsidRPr="00573EF8">
        <w:rPr>
          <w:rFonts w:ascii="Traditional Arabic" w:hAnsi="Traditional Arabic"/>
          <w:sz w:val="32"/>
          <w:rtl/>
          <w:lang w:bidi="ar-EG"/>
        </w:rPr>
        <w:t>.</w:t>
      </w:r>
    </w:p>
    <w:p w14:paraId="0642ECDC" w14:textId="77777777" w:rsidR="00FA4291" w:rsidRPr="00573EF8" w:rsidRDefault="000F3782"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 وبعد هذا البحث، تحدث المؤلف عن </w:t>
      </w:r>
      <w:r w:rsidR="00FA4291" w:rsidRPr="00573EF8">
        <w:rPr>
          <w:rFonts w:ascii="Traditional Arabic" w:hAnsi="Traditional Arabic"/>
          <w:sz w:val="32"/>
          <w:rtl/>
          <w:lang w:bidi="ar-EG"/>
        </w:rPr>
        <w:t>خصائص التفسير في مرحلة ما قبل العقائدية</w:t>
      </w:r>
      <w:r w:rsidRPr="00573EF8">
        <w:rPr>
          <w:rFonts w:ascii="Traditional Arabic" w:hAnsi="Traditional Arabic"/>
          <w:sz w:val="32"/>
          <w:rtl/>
          <w:lang w:bidi="ar-EG"/>
        </w:rPr>
        <w:t xml:space="preserve">، </w:t>
      </w:r>
      <w:r w:rsidR="00490740" w:rsidRPr="00573EF8">
        <w:rPr>
          <w:rFonts w:ascii="Traditional Arabic" w:hAnsi="Traditional Arabic"/>
          <w:sz w:val="32"/>
          <w:rtl/>
          <w:lang w:bidi="ar-EG"/>
        </w:rPr>
        <w:t xml:space="preserve">وبالتحديد خصائص من تصدى للتفسير من الصحابة رضي الله عنهم، وهو من المباحث التي يستفيد منها المشتغل بالتفسير، لبناء الاحتجاج لأهمية فهم السلف في التفسير، ولأنه معيار لمن جاء </w:t>
      </w:r>
      <w:proofErr w:type="gramStart"/>
      <w:r w:rsidR="00490740" w:rsidRPr="00573EF8">
        <w:rPr>
          <w:rFonts w:ascii="Traditional Arabic" w:hAnsi="Traditional Arabic"/>
          <w:sz w:val="32"/>
          <w:rtl/>
          <w:lang w:bidi="ar-EG"/>
        </w:rPr>
        <w:t>بعدهم .</w:t>
      </w:r>
      <w:proofErr w:type="gramEnd"/>
    </w:p>
    <w:p w14:paraId="50856F57" w14:textId="77777777" w:rsidR="00490740" w:rsidRPr="00573EF8" w:rsidRDefault="00490740"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وقد </w:t>
      </w:r>
      <w:r w:rsidR="00FA4291" w:rsidRPr="00573EF8">
        <w:rPr>
          <w:rFonts w:ascii="Traditional Arabic" w:hAnsi="Traditional Arabic"/>
          <w:sz w:val="32"/>
          <w:rtl/>
          <w:lang w:bidi="ar-EG"/>
        </w:rPr>
        <w:t>بحث في هذه الخصائص من خلال ثلاث مقاربات تؤثر بشكل كبير في طبيعة اجتهاد المؤول/ المفسر وهي على وجه الإجمال: (لغوية/ استدلالية، واجتماعية، ونفسية)</w:t>
      </w:r>
      <w:r w:rsidRPr="00573EF8">
        <w:rPr>
          <w:rFonts w:ascii="Traditional Arabic" w:hAnsi="Traditional Arabic"/>
          <w:sz w:val="32"/>
          <w:rtl/>
          <w:lang w:bidi="ar-EG"/>
        </w:rPr>
        <w:t>.</w:t>
      </w:r>
    </w:p>
    <w:p w14:paraId="2A0D3805" w14:textId="77777777" w:rsidR="00FA4291" w:rsidRPr="00573EF8" w:rsidRDefault="00490740"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وأشار إلى مسألة مهمة، وهي الفرق بين الموقفين السني والشيعي في مبدأ التقديم لطبقة معينة في فهم القرآن على غيرهم، ومن ضمن هذه الفوارق: موجب الاختصاص، والقول </w:t>
      </w:r>
      <w:proofErr w:type="gramStart"/>
      <w:r w:rsidRPr="00573EF8">
        <w:rPr>
          <w:rFonts w:ascii="Traditional Arabic" w:hAnsi="Traditional Arabic"/>
          <w:sz w:val="32"/>
          <w:rtl/>
          <w:lang w:bidi="ar-EG"/>
        </w:rPr>
        <w:t>بالعصمة .</w:t>
      </w:r>
      <w:proofErr w:type="gramEnd"/>
    </w:p>
    <w:p w14:paraId="582AE25E" w14:textId="77777777" w:rsidR="00490740" w:rsidRPr="00573EF8" w:rsidRDefault="00490740" w:rsidP="00573EF8">
      <w:pPr>
        <w:jc w:val="lowKashida"/>
        <w:rPr>
          <w:rFonts w:ascii="Traditional Arabic" w:hAnsi="Traditional Arabic"/>
          <w:sz w:val="32"/>
          <w:rtl/>
          <w:lang w:bidi="ar-EG"/>
        </w:rPr>
      </w:pPr>
      <w:r w:rsidRPr="00573EF8">
        <w:rPr>
          <w:rFonts w:ascii="Traditional Arabic" w:hAnsi="Traditional Arabic"/>
          <w:sz w:val="32"/>
          <w:rtl/>
          <w:lang w:bidi="ar-EG"/>
        </w:rPr>
        <w:t>وأجاب كذلك عن الإشكالات المنهجية على منهج تفسير الصحابة، والذي يمكن تلخيصه في أربعة أمور:</w:t>
      </w:r>
    </w:p>
    <w:p w14:paraId="003B2617"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الإشكال الأول: إشكال المصادر (الأخذ عن بني إسرائيل</w:t>
      </w:r>
      <w:r w:rsidR="00490740" w:rsidRPr="00573EF8">
        <w:rPr>
          <w:rFonts w:ascii="Traditional Arabic" w:hAnsi="Traditional Arabic"/>
          <w:sz w:val="32"/>
          <w:rtl/>
          <w:lang w:bidi="ar-EG"/>
        </w:rPr>
        <w:t>).</w:t>
      </w:r>
      <w:r w:rsidRPr="00573EF8">
        <w:rPr>
          <w:rFonts w:ascii="Traditional Arabic" w:hAnsi="Traditional Arabic"/>
          <w:sz w:val="32"/>
          <w:rtl/>
          <w:lang w:bidi="ar-EG"/>
        </w:rPr>
        <w:t xml:space="preserve"> </w:t>
      </w:r>
    </w:p>
    <w:p w14:paraId="7830F015"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lastRenderedPageBreak/>
        <w:t>الإشكال الثاني: إشكال الخطأ في تأويل النص (خطأ بعض الصحابة في الفهم</w:t>
      </w:r>
      <w:r w:rsidR="00490740" w:rsidRPr="00573EF8">
        <w:rPr>
          <w:rFonts w:ascii="Traditional Arabic" w:hAnsi="Traditional Arabic"/>
          <w:sz w:val="32"/>
          <w:rtl/>
          <w:lang w:bidi="ar-EG"/>
        </w:rPr>
        <w:t>).</w:t>
      </w:r>
    </w:p>
    <w:p w14:paraId="08774A86"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الإشكال الثالث: إشكال الجدل حول النص (جدل بعض الصحابة حول بعض الآيات القرآنية</w:t>
      </w:r>
      <w:r w:rsidR="00490740" w:rsidRPr="00573EF8">
        <w:rPr>
          <w:rFonts w:ascii="Traditional Arabic" w:hAnsi="Traditional Arabic"/>
          <w:sz w:val="32"/>
          <w:rtl/>
          <w:lang w:bidi="ar-EG"/>
        </w:rPr>
        <w:t>).</w:t>
      </w:r>
    </w:p>
    <w:p w14:paraId="63729FF7" w14:textId="77777777" w:rsidR="00490740"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الإشكال الرابع: التساؤل حول </w:t>
      </w:r>
      <w:proofErr w:type="gramStart"/>
      <w:r w:rsidRPr="00573EF8">
        <w:rPr>
          <w:rFonts w:ascii="Traditional Arabic" w:hAnsi="Traditional Arabic"/>
          <w:sz w:val="32"/>
          <w:rtl/>
          <w:lang w:bidi="ar-EG"/>
        </w:rPr>
        <w:t>النص</w:t>
      </w:r>
      <w:r w:rsidR="00490740" w:rsidRPr="00573EF8">
        <w:rPr>
          <w:rFonts w:ascii="Traditional Arabic" w:hAnsi="Traditional Arabic"/>
          <w:sz w:val="32"/>
          <w:rtl/>
          <w:lang w:bidi="ar-EG"/>
        </w:rPr>
        <w:t xml:space="preserve"> .</w:t>
      </w:r>
      <w:proofErr w:type="gramEnd"/>
    </w:p>
    <w:p w14:paraId="3F6FA3CB" w14:textId="77777777" w:rsidR="00490740" w:rsidRPr="00573EF8" w:rsidRDefault="00881B5C"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 </w:t>
      </w:r>
      <w:r w:rsidR="00490740" w:rsidRPr="00573EF8">
        <w:rPr>
          <w:rFonts w:ascii="Traditional Arabic" w:hAnsi="Traditional Arabic"/>
          <w:sz w:val="32"/>
          <w:rtl/>
          <w:lang w:bidi="ar-EG"/>
        </w:rPr>
        <w:t>وفي الباب الثاني، تحدث المؤلف عن المناهج العقائدية في تفسير النص القرآني.</w:t>
      </w:r>
    </w:p>
    <w:p w14:paraId="38EB6D27" w14:textId="77777777" w:rsidR="00FA4291" w:rsidRPr="00573EF8" w:rsidRDefault="00430A32" w:rsidP="00573EF8">
      <w:pPr>
        <w:jc w:val="lowKashida"/>
        <w:rPr>
          <w:rFonts w:ascii="Traditional Arabic" w:hAnsi="Traditional Arabic"/>
          <w:sz w:val="32"/>
          <w:rtl/>
          <w:lang w:bidi="ar-EG"/>
        </w:rPr>
      </w:pPr>
      <w:r w:rsidRPr="00573EF8">
        <w:rPr>
          <w:rFonts w:ascii="Traditional Arabic" w:hAnsi="Traditional Arabic"/>
          <w:sz w:val="32"/>
          <w:rtl/>
          <w:lang w:bidi="ar-EG"/>
        </w:rPr>
        <w:t>وحصرها في عدة أطوار، "</w:t>
      </w:r>
      <w:r w:rsidR="00FA4291" w:rsidRPr="00573EF8">
        <w:rPr>
          <w:rFonts w:ascii="Traditional Arabic" w:hAnsi="Traditional Arabic"/>
          <w:sz w:val="32"/>
          <w:rtl/>
          <w:lang w:bidi="ar-EG"/>
        </w:rPr>
        <w:t>ففي الطور الأول من ظهور الطوائف، والذي خرجت فيه الخوارج والشيعة، انحازت هذه الطوائف إلى واحد من هذين الخيارين، فالخوارج وهم أول مَن ظهر بمنهج تأويلي للنص بعد منهج الصحابة، تبنوا منهج (الإيغال في الظاهر)، وعلى العكس منهم، وفي زمن مقارب ظهر المنهج التأويلي الثاني عند غلاة الشيعة الأوائل، وتبنوا المنهج المقابل وهو (الإيغال في التأويل</w:t>
      </w:r>
      <w:proofErr w:type="gramStart"/>
      <w:r w:rsidR="00FA4291" w:rsidRPr="00573EF8">
        <w:rPr>
          <w:rFonts w:ascii="Traditional Arabic" w:hAnsi="Traditional Arabic"/>
          <w:sz w:val="32"/>
          <w:rtl/>
          <w:lang w:bidi="ar-EG"/>
        </w:rPr>
        <w:t>) .</w:t>
      </w:r>
      <w:proofErr w:type="gramEnd"/>
      <w:r w:rsidR="00FA4291" w:rsidRPr="00573EF8">
        <w:rPr>
          <w:rFonts w:ascii="Traditional Arabic" w:hAnsi="Traditional Arabic"/>
          <w:sz w:val="32"/>
          <w:rtl/>
          <w:lang w:bidi="ar-EG"/>
        </w:rPr>
        <w:t xml:space="preserve"> </w:t>
      </w:r>
    </w:p>
    <w:p w14:paraId="3AC732CE"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أمَّا في الطور الثاني وبعد تشكُّل المنهجين السابقين في حقبة زمنية متقاربة، تشكَّلت مناهج تأويلية تسعى إلى الجمع ما بين (الظاهر والتأويل)، وكان لكُلِّ واحد منهم طريقته في هذا </w:t>
      </w:r>
      <w:proofErr w:type="gramStart"/>
      <w:r w:rsidRPr="00573EF8">
        <w:rPr>
          <w:rFonts w:ascii="Traditional Arabic" w:hAnsi="Traditional Arabic"/>
          <w:sz w:val="32"/>
          <w:rtl/>
          <w:lang w:bidi="ar-EG"/>
        </w:rPr>
        <w:t>الجمع .</w:t>
      </w:r>
      <w:proofErr w:type="gramEnd"/>
      <w:r w:rsidRPr="00573EF8">
        <w:rPr>
          <w:rFonts w:ascii="Traditional Arabic" w:hAnsi="Traditional Arabic"/>
          <w:sz w:val="32"/>
          <w:rtl/>
          <w:lang w:bidi="ar-EG"/>
        </w:rPr>
        <w:t xml:space="preserve"> </w:t>
      </w:r>
    </w:p>
    <w:p w14:paraId="06F4E72D"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فمنهج أهل الحديث الذي بدأ يترسم وتتحدد معالمه بعد ظهور هذه الخلافات اعترف بالظاهر والتأويل، وحاول التوفيق بينهما، مع الميل إلى اعتبار الظاهر، وهو ما أطلقنا عليه (منهج الوصل الظاهري</w:t>
      </w:r>
      <w:proofErr w:type="gramStart"/>
      <w:r w:rsidRPr="00573EF8">
        <w:rPr>
          <w:rFonts w:ascii="Traditional Arabic" w:hAnsi="Traditional Arabic"/>
          <w:sz w:val="32"/>
          <w:rtl/>
          <w:lang w:bidi="ar-EG"/>
        </w:rPr>
        <w:t>) .</w:t>
      </w:r>
      <w:proofErr w:type="gramEnd"/>
      <w:r w:rsidRPr="00573EF8">
        <w:rPr>
          <w:rFonts w:ascii="Traditional Arabic" w:hAnsi="Traditional Arabic"/>
          <w:sz w:val="32"/>
          <w:rtl/>
          <w:lang w:bidi="ar-EG"/>
        </w:rPr>
        <w:t xml:space="preserve"> أي: الوصل بين الظاهر والتأويل مع الميل </w:t>
      </w:r>
      <w:r w:rsidR="00430A32" w:rsidRPr="00573EF8">
        <w:rPr>
          <w:rFonts w:ascii="Traditional Arabic" w:hAnsi="Traditional Arabic"/>
          <w:sz w:val="32"/>
          <w:rtl/>
          <w:lang w:bidi="ar-EG"/>
        </w:rPr>
        <w:t>للظاهر</w:t>
      </w:r>
      <w:r w:rsidRPr="00573EF8">
        <w:rPr>
          <w:rFonts w:ascii="Traditional Arabic" w:hAnsi="Traditional Arabic"/>
          <w:sz w:val="32"/>
          <w:rtl/>
          <w:lang w:bidi="ar-EG"/>
        </w:rPr>
        <w:t xml:space="preserve">. </w:t>
      </w:r>
    </w:p>
    <w:p w14:paraId="7C5550C2"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ويُقابله منهج المتكلمين الذي ظهر بعد ذلك على يد المعتزلة، ثم الأشاعرة </w:t>
      </w:r>
      <w:proofErr w:type="spellStart"/>
      <w:r w:rsidRPr="00573EF8">
        <w:rPr>
          <w:rFonts w:ascii="Traditional Arabic" w:hAnsi="Traditional Arabic"/>
          <w:sz w:val="32"/>
          <w:rtl/>
          <w:lang w:bidi="ar-EG"/>
        </w:rPr>
        <w:t>والماتريدية</w:t>
      </w:r>
      <w:proofErr w:type="spellEnd"/>
      <w:r w:rsidRPr="00573EF8">
        <w:rPr>
          <w:rFonts w:ascii="Traditional Arabic" w:hAnsi="Traditional Arabic"/>
          <w:sz w:val="32"/>
          <w:rtl/>
          <w:lang w:bidi="ar-EG"/>
        </w:rPr>
        <w:t xml:space="preserve">، اعترف فيه أصحابه بالظاهر والتأويل، وحاولوا التوفيق بينهما مع الميل للتأويل، وهو ما أطلقنا عليه (منهج الوصل التأويلي)، أي: إنَّهم وصلوا بين الظاهر والتأويل، لكنهم مالوا إلى </w:t>
      </w:r>
      <w:proofErr w:type="gramStart"/>
      <w:r w:rsidRPr="00573EF8">
        <w:rPr>
          <w:rFonts w:ascii="Traditional Arabic" w:hAnsi="Traditional Arabic"/>
          <w:sz w:val="32"/>
          <w:rtl/>
          <w:lang w:bidi="ar-EG"/>
        </w:rPr>
        <w:t>التأويل .</w:t>
      </w:r>
      <w:proofErr w:type="gramEnd"/>
      <w:r w:rsidRPr="00573EF8">
        <w:rPr>
          <w:rFonts w:ascii="Traditional Arabic" w:hAnsi="Traditional Arabic"/>
          <w:sz w:val="32"/>
          <w:rtl/>
          <w:lang w:bidi="ar-EG"/>
        </w:rPr>
        <w:t xml:space="preserve"> </w:t>
      </w:r>
    </w:p>
    <w:p w14:paraId="70081125"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أمَّا في الطور الثالث والذي خرج فيه الاتجاه الفلسفي، فقد اعترف الفلاسفة بذات الثنائية الظاهر والتأويل، وحاولوا التوفيق بينهما، ولكن من خلال الفصل ما بينهما، وليس الوصل، كما هو حال المتكلمين وأهل الحديث؛ حيث فصلوا بين الظاهر والباطن فجعلوا الظاهر للعامة، والتأويل للخاصة، وانقسموا إلى اتجاهين: المشائين والإشراقيين، وتشكل عنهما ما سميناه: (منهج الفصل المشائي)، و(منهج الفصل الإشراقي). </w:t>
      </w:r>
    </w:p>
    <w:p w14:paraId="00869D39"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lastRenderedPageBreak/>
        <w:t xml:space="preserve">أمَّا الطوائف الأخرى (الإباضية - الزيدية - الصوفية - الإسماعيلية)؛ فمناهجها في التأويل هي امتداد لواحد من تلك المناهج </w:t>
      </w:r>
      <w:r w:rsidR="00430A32" w:rsidRPr="00573EF8">
        <w:rPr>
          <w:rFonts w:ascii="Traditional Arabic" w:hAnsi="Traditional Arabic"/>
          <w:sz w:val="32"/>
          <w:rtl/>
          <w:lang w:bidi="ar-EG"/>
        </w:rPr>
        <w:t>السابقة</w:t>
      </w:r>
      <w:r w:rsidRPr="00573EF8">
        <w:rPr>
          <w:rFonts w:ascii="Traditional Arabic" w:hAnsi="Traditional Arabic"/>
          <w:sz w:val="32"/>
          <w:rtl/>
          <w:lang w:bidi="ar-EG"/>
        </w:rPr>
        <w:t xml:space="preserve">. </w:t>
      </w:r>
    </w:p>
    <w:p w14:paraId="474A5305" w14:textId="77777777" w:rsidR="00FA4291"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والخلاصة: إنَّنا إذا أردنا أن نختصـر بنية مناهج التأويل العقائدي في التفسير، فيمكننا القول: إنَّها تدور حول ثنائية (الظاهر والتأويل)</w:t>
      </w:r>
      <w:proofErr w:type="gramStart"/>
      <w:r w:rsidR="00430A32" w:rsidRPr="00573EF8">
        <w:rPr>
          <w:rFonts w:ascii="Traditional Arabic" w:hAnsi="Traditional Arabic"/>
          <w:sz w:val="32"/>
          <w:rtl/>
          <w:lang w:bidi="ar-EG"/>
        </w:rPr>
        <w:t>"</w:t>
      </w:r>
      <w:r w:rsidRPr="00573EF8">
        <w:rPr>
          <w:rFonts w:ascii="Traditional Arabic" w:hAnsi="Traditional Arabic"/>
          <w:sz w:val="32"/>
          <w:rtl/>
          <w:lang w:bidi="ar-EG"/>
        </w:rPr>
        <w:t xml:space="preserve"> .</w:t>
      </w:r>
      <w:proofErr w:type="gramEnd"/>
      <w:r w:rsidRPr="00573EF8">
        <w:rPr>
          <w:rFonts w:ascii="Traditional Arabic" w:hAnsi="Traditional Arabic"/>
          <w:sz w:val="32"/>
          <w:rtl/>
          <w:lang w:bidi="ar-EG"/>
        </w:rPr>
        <w:t xml:space="preserve"> </w:t>
      </w:r>
    </w:p>
    <w:p w14:paraId="095FD351" w14:textId="77777777" w:rsidR="00430A32" w:rsidRPr="00573EF8" w:rsidRDefault="00430A32"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 وفي حديثه عن مناهج الانحياز: الظاهر أو التأويل، تكلم المؤلف عن منهج الإيغال في الظاهر (الخوارج)، متحدثًا عن التطورات التاريخية لمسى الخوارج، أبدى فيه </w:t>
      </w:r>
      <w:r w:rsidR="00FA4291" w:rsidRPr="00573EF8">
        <w:rPr>
          <w:rFonts w:ascii="Traditional Arabic" w:hAnsi="Traditional Arabic"/>
          <w:sz w:val="32"/>
          <w:rtl/>
          <w:lang w:bidi="ar-EG"/>
        </w:rPr>
        <w:t xml:space="preserve">مجموعة ملاحظات تمثل الأسس الحاكمة لمنهجيتهم في </w:t>
      </w:r>
      <w:proofErr w:type="gramStart"/>
      <w:r w:rsidR="00FA4291" w:rsidRPr="00573EF8">
        <w:rPr>
          <w:rFonts w:ascii="Traditional Arabic" w:hAnsi="Traditional Arabic"/>
          <w:sz w:val="32"/>
          <w:rtl/>
          <w:lang w:bidi="ar-EG"/>
        </w:rPr>
        <w:t>التفسير</w:t>
      </w:r>
      <w:r w:rsidRPr="00573EF8">
        <w:rPr>
          <w:rFonts w:ascii="Traditional Arabic" w:hAnsi="Traditional Arabic"/>
          <w:sz w:val="32"/>
          <w:rtl/>
          <w:lang w:bidi="ar-EG"/>
        </w:rPr>
        <w:t xml:space="preserve"> .</w:t>
      </w:r>
      <w:proofErr w:type="gramEnd"/>
    </w:p>
    <w:p w14:paraId="3C3A89F7" w14:textId="77777777" w:rsidR="00430A32" w:rsidRPr="00573EF8" w:rsidRDefault="00430A32"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وأتبع ذلك بالحديث عن </w:t>
      </w:r>
      <w:r w:rsidR="00FA4291" w:rsidRPr="00573EF8">
        <w:rPr>
          <w:rFonts w:ascii="Traditional Arabic" w:hAnsi="Traditional Arabic"/>
          <w:sz w:val="32"/>
          <w:rtl/>
          <w:lang w:bidi="ar-EG"/>
        </w:rPr>
        <w:t>امتداد منهج الإيغال في الظاهر</w:t>
      </w:r>
      <w:r w:rsidRPr="00573EF8">
        <w:rPr>
          <w:rFonts w:ascii="Traditional Arabic" w:hAnsi="Traditional Arabic"/>
          <w:sz w:val="32"/>
          <w:rtl/>
          <w:lang w:bidi="ar-EG"/>
        </w:rPr>
        <w:t xml:space="preserve">، ونبه أن </w:t>
      </w:r>
      <w:r w:rsidR="00FA4291" w:rsidRPr="00573EF8">
        <w:rPr>
          <w:rFonts w:ascii="Traditional Arabic" w:hAnsi="Traditional Arabic"/>
          <w:sz w:val="32"/>
          <w:rtl/>
          <w:lang w:bidi="ar-EG"/>
        </w:rPr>
        <w:t>مجمل ما يُمكن تتبعه في حالة امتداد هذه المنهجية في الفرق هو الآتي</w:t>
      </w:r>
      <w:r w:rsidRPr="00573EF8">
        <w:rPr>
          <w:rFonts w:ascii="Traditional Arabic" w:hAnsi="Traditional Arabic"/>
          <w:sz w:val="32"/>
          <w:rtl/>
          <w:lang w:bidi="ar-EG"/>
        </w:rPr>
        <w:t xml:space="preserve">: </w:t>
      </w:r>
      <w:r w:rsidR="00FA4291" w:rsidRPr="00573EF8">
        <w:rPr>
          <w:rFonts w:ascii="Traditional Arabic" w:hAnsi="Traditional Arabic"/>
          <w:sz w:val="32"/>
          <w:rtl/>
          <w:lang w:bidi="ar-EG"/>
        </w:rPr>
        <w:t>(1) القدرية، المرجئة</w:t>
      </w:r>
      <w:r w:rsidRPr="00573EF8">
        <w:rPr>
          <w:rFonts w:ascii="Traditional Arabic" w:hAnsi="Traditional Arabic"/>
          <w:sz w:val="32"/>
          <w:rtl/>
          <w:lang w:bidi="ar-EG"/>
        </w:rPr>
        <w:t xml:space="preserve">، </w:t>
      </w:r>
      <w:r w:rsidR="00FA4291" w:rsidRPr="00573EF8">
        <w:rPr>
          <w:rFonts w:ascii="Traditional Arabic" w:hAnsi="Traditional Arabic"/>
          <w:sz w:val="32"/>
          <w:rtl/>
          <w:lang w:bidi="ar-EG"/>
        </w:rPr>
        <w:t>(2) متقدمي الشيعة الإمامية</w:t>
      </w:r>
      <w:r w:rsidRPr="00573EF8">
        <w:rPr>
          <w:rFonts w:ascii="Traditional Arabic" w:hAnsi="Traditional Arabic"/>
          <w:sz w:val="32"/>
          <w:rtl/>
          <w:lang w:bidi="ar-EG"/>
        </w:rPr>
        <w:t xml:space="preserve">، </w:t>
      </w:r>
      <w:r w:rsidR="00FA4291" w:rsidRPr="00573EF8">
        <w:rPr>
          <w:rFonts w:ascii="Traditional Arabic" w:hAnsi="Traditional Arabic"/>
          <w:sz w:val="32"/>
          <w:rtl/>
          <w:lang w:bidi="ar-EG"/>
        </w:rPr>
        <w:t>(3) غلاة الحنابلة</w:t>
      </w:r>
      <w:r w:rsidRPr="00573EF8">
        <w:rPr>
          <w:rFonts w:ascii="Traditional Arabic" w:hAnsi="Traditional Arabic"/>
          <w:sz w:val="32"/>
          <w:rtl/>
          <w:lang w:bidi="ar-EG"/>
        </w:rPr>
        <w:t>.</w:t>
      </w:r>
    </w:p>
    <w:p w14:paraId="2CCBA3C5" w14:textId="77777777" w:rsidR="00FA4291" w:rsidRPr="00573EF8" w:rsidRDefault="00430A32"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وأما منهج </w:t>
      </w:r>
      <w:r w:rsidR="00FA4291" w:rsidRPr="00573EF8">
        <w:rPr>
          <w:rFonts w:ascii="Traditional Arabic" w:hAnsi="Traditional Arabic"/>
          <w:sz w:val="32"/>
          <w:rtl/>
          <w:lang w:bidi="ar-EG"/>
        </w:rPr>
        <w:t>الإيغال في التأويل</w:t>
      </w:r>
      <w:r w:rsidRPr="00573EF8">
        <w:rPr>
          <w:rFonts w:ascii="Traditional Arabic" w:hAnsi="Traditional Arabic"/>
          <w:sz w:val="32"/>
          <w:rtl/>
          <w:lang w:bidi="ar-EG"/>
        </w:rPr>
        <w:t xml:space="preserve">، </w:t>
      </w:r>
      <w:r w:rsidR="001F7E3E" w:rsidRPr="00573EF8">
        <w:rPr>
          <w:rFonts w:ascii="Traditional Arabic" w:hAnsi="Traditional Arabic"/>
          <w:sz w:val="32"/>
          <w:rtl/>
          <w:lang w:bidi="ar-EG"/>
        </w:rPr>
        <w:t>فقد تحدث فيه عن مسمى التشيع، ومناهجهم التفسيرية، والتي اعتمدت على مبادئ منها:</w:t>
      </w:r>
      <w:r w:rsidR="00FA4291" w:rsidRPr="00573EF8">
        <w:rPr>
          <w:rFonts w:ascii="Traditional Arabic" w:hAnsi="Traditional Arabic"/>
          <w:sz w:val="32"/>
          <w:rtl/>
          <w:lang w:bidi="ar-EG"/>
        </w:rPr>
        <w:t xml:space="preserve"> (1) تجاوز الدلالة اللغوية</w:t>
      </w:r>
      <w:r w:rsidR="001F7E3E" w:rsidRPr="00573EF8">
        <w:rPr>
          <w:rFonts w:ascii="Traditional Arabic" w:hAnsi="Traditional Arabic"/>
          <w:sz w:val="32"/>
          <w:rtl/>
          <w:lang w:bidi="ar-EG"/>
        </w:rPr>
        <w:t xml:space="preserve">، </w:t>
      </w:r>
      <w:r w:rsidR="00FA4291" w:rsidRPr="00573EF8">
        <w:rPr>
          <w:rFonts w:ascii="Traditional Arabic" w:hAnsi="Traditional Arabic"/>
          <w:sz w:val="32"/>
          <w:rtl/>
          <w:lang w:bidi="ar-EG"/>
        </w:rPr>
        <w:t>(2) عدم إمكانية الوصول لتلك الدلالة عن طريق بيان (قائل النص (الله)، ومبلغه (الرسول)، وإنَّما لا بُدَّ لها من طريق خاص</w:t>
      </w:r>
      <w:r w:rsidR="001F7E3E" w:rsidRPr="00573EF8">
        <w:rPr>
          <w:rFonts w:ascii="Traditional Arabic" w:hAnsi="Traditional Arabic"/>
          <w:sz w:val="32"/>
          <w:rtl/>
          <w:lang w:bidi="ar-EG"/>
        </w:rPr>
        <w:t xml:space="preserve">، </w:t>
      </w:r>
      <w:r w:rsidR="00FA4291" w:rsidRPr="00573EF8">
        <w:rPr>
          <w:rFonts w:ascii="Traditional Arabic" w:hAnsi="Traditional Arabic"/>
          <w:sz w:val="32"/>
          <w:rtl/>
          <w:lang w:bidi="ar-EG"/>
        </w:rPr>
        <w:t xml:space="preserve">وبالتالي؛ فسينتج عن تجاوز هذين الأمرين مبدآن بديلان، سيظلان حاكمين على عموم المنهج الباطني وهما: </w:t>
      </w:r>
    </w:p>
    <w:p w14:paraId="1B568AA5" w14:textId="77777777" w:rsidR="001F7E3E"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الأول: استبدال مبدأ الدلالة (اللغوية) الظاهرة بمبدأ الدلالة (الرمزية) </w:t>
      </w:r>
      <w:proofErr w:type="gramStart"/>
      <w:r w:rsidRPr="00573EF8">
        <w:rPr>
          <w:rFonts w:ascii="Traditional Arabic" w:hAnsi="Traditional Arabic"/>
          <w:sz w:val="32"/>
          <w:rtl/>
          <w:lang w:bidi="ar-EG"/>
        </w:rPr>
        <w:t>الباطنة .</w:t>
      </w:r>
      <w:proofErr w:type="gramEnd"/>
    </w:p>
    <w:p w14:paraId="621199C1" w14:textId="77777777" w:rsidR="001F7E3E" w:rsidRPr="00573EF8" w:rsidRDefault="00FA4291" w:rsidP="00573EF8">
      <w:pPr>
        <w:jc w:val="lowKashida"/>
        <w:rPr>
          <w:rFonts w:ascii="Traditional Arabic" w:hAnsi="Traditional Arabic"/>
          <w:sz w:val="32"/>
          <w:rtl/>
          <w:lang w:bidi="ar-EG"/>
        </w:rPr>
      </w:pPr>
      <w:r w:rsidRPr="00573EF8">
        <w:rPr>
          <w:rFonts w:ascii="Traditional Arabic" w:hAnsi="Traditional Arabic"/>
          <w:sz w:val="32"/>
          <w:rtl/>
          <w:lang w:bidi="ar-EG"/>
        </w:rPr>
        <w:t>الثاني: استبدال مبدأ (عمومية إمكان معرفة المعنى) - من خلال الاعتماد على بيان قائل النص (الله)، أو مبلغه (الرسول) - بمبدأ (خصوصية معرفة المعنى) عن طريق الاعتماد على قول الإمام المعصوم</w:t>
      </w:r>
      <w:r w:rsidR="001F7E3E" w:rsidRPr="00573EF8">
        <w:rPr>
          <w:rFonts w:ascii="Traditional Arabic" w:hAnsi="Traditional Arabic"/>
          <w:sz w:val="32"/>
          <w:rtl/>
          <w:lang w:bidi="ar-EG"/>
        </w:rPr>
        <w:t>.</w:t>
      </w:r>
    </w:p>
    <w:p w14:paraId="58447BB2" w14:textId="77777777" w:rsidR="001F7E3E" w:rsidRPr="00573EF8" w:rsidRDefault="001F7E3E" w:rsidP="00573EF8">
      <w:pPr>
        <w:jc w:val="lowKashida"/>
        <w:rPr>
          <w:rFonts w:ascii="Traditional Arabic" w:hAnsi="Traditional Arabic"/>
          <w:sz w:val="32"/>
          <w:rtl/>
          <w:lang w:bidi="ar-EG"/>
        </w:rPr>
      </w:pPr>
      <w:r w:rsidRPr="00573EF8">
        <w:rPr>
          <w:rFonts w:ascii="Traditional Arabic" w:hAnsi="Traditional Arabic"/>
          <w:sz w:val="32"/>
          <w:rtl/>
          <w:lang w:bidi="ar-EG"/>
        </w:rPr>
        <w:t>"</w:t>
      </w:r>
      <w:r w:rsidR="00FA4291" w:rsidRPr="00573EF8">
        <w:rPr>
          <w:rFonts w:ascii="Traditional Arabic" w:hAnsi="Traditional Arabic"/>
          <w:sz w:val="32"/>
          <w:rtl/>
          <w:lang w:bidi="ar-EG"/>
        </w:rPr>
        <w:t>والمبدآن السابقان (الدلالة الرمزية/ الباطنية، وخصوصية معرفته عن طريق اعتماد قول المعصوم أو كشف الولي) سيتم اعتمادهما في عموم مسار الطوائف التي تبنت المنهج الباطني (الإسماعيلية، الشيعة الإمامية، الصوفية)، حتى مع وجود تباينات في المواقف فيما بينها، واختلاف درجات تبنِّي هذا المنهج من طائفة لأخرى</w:t>
      </w:r>
      <w:r w:rsidRPr="00573EF8">
        <w:rPr>
          <w:rFonts w:ascii="Traditional Arabic" w:hAnsi="Traditional Arabic"/>
          <w:sz w:val="32"/>
          <w:rtl/>
          <w:lang w:bidi="ar-EG"/>
        </w:rPr>
        <w:t>".</w:t>
      </w:r>
    </w:p>
    <w:p w14:paraId="564A3BCC" w14:textId="77777777" w:rsidR="00FA4291" w:rsidRPr="00573EF8" w:rsidRDefault="001F7E3E" w:rsidP="00573EF8">
      <w:pPr>
        <w:jc w:val="lowKashida"/>
        <w:rPr>
          <w:rFonts w:ascii="Traditional Arabic" w:hAnsi="Traditional Arabic"/>
          <w:sz w:val="32"/>
          <w:rtl/>
          <w:lang w:bidi="ar-EG"/>
        </w:rPr>
      </w:pPr>
      <w:r w:rsidRPr="00573EF8">
        <w:rPr>
          <w:rFonts w:ascii="Traditional Arabic" w:hAnsi="Traditional Arabic"/>
          <w:sz w:val="32"/>
          <w:rtl/>
          <w:lang w:bidi="ar-EG"/>
        </w:rPr>
        <w:lastRenderedPageBreak/>
        <w:t xml:space="preserve">ثم أتبع ذلك بالحدث عن </w:t>
      </w:r>
      <w:r w:rsidR="00FA4291" w:rsidRPr="00573EF8">
        <w:rPr>
          <w:rFonts w:ascii="Traditional Arabic" w:hAnsi="Traditional Arabic"/>
          <w:sz w:val="32"/>
          <w:rtl/>
          <w:lang w:bidi="ar-EG"/>
        </w:rPr>
        <w:t>التأويل الباطني عند الإسماعيلية</w:t>
      </w:r>
      <w:r w:rsidRPr="00573EF8">
        <w:rPr>
          <w:rFonts w:ascii="Traditional Arabic" w:hAnsi="Traditional Arabic"/>
          <w:sz w:val="32"/>
          <w:rtl/>
          <w:lang w:bidi="ar-EG"/>
        </w:rPr>
        <w:t>، و</w:t>
      </w:r>
      <w:r w:rsidR="00FA4291" w:rsidRPr="00573EF8">
        <w:rPr>
          <w:rFonts w:ascii="Traditional Arabic" w:hAnsi="Traditional Arabic"/>
          <w:sz w:val="32"/>
          <w:rtl/>
          <w:lang w:bidi="ar-EG"/>
        </w:rPr>
        <w:t>التأويل الباطني عند الشيعة الإمامية</w:t>
      </w:r>
      <w:r w:rsidRPr="00573EF8">
        <w:rPr>
          <w:rFonts w:ascii="Traditional Arabic" w:hAnsi="Traditional Arabic"/>
          <w:sz w:val="32"/>
          <w:rtl/>
          <w:lang w:bidi="ar-EG"/>
        </w:rPr>
        <w:t>، و</w:t>
      </w:r>
      <w:r w:rsidR="00FA4291" w:rsidRPr="00573EF8">
        <w:rPr>
          <w:rFonts w:ascii="Traditional Arabic" w:hAnsi="Traditional Arabic"/>
          <w:sz w:val="32"/>
          <w:rtl/>
          <w:lang w:bidi="ar-EG"/>
        </w:rPr>
        <w:t>التأويل الباطني عند الصوفية</w:t>
      </w:r>
      <w:r w:rsidRPr="00573EF8">
        <w:rPr>
          <w:rFonts w:ascii="Traditional Arabic" w:hAnsi="Traditional Arabic"/>
          <w:sz w:val="32"/>
          <w:rtl/>
          <w:lang w:bidi="ar-EG"/>
        </w:rPr>
        <w:t>.</w:t>
      </w:r>
    </w:p>
    <w:p w14:paraId="78E4DCAB" w14:textId="77777777" w:rsidR="001F7E3E" w:rsidRPr="00573EF8" w:rsidRDefault="001F7E3E"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وفي هذا الفصل خلاصات بحثية غاية في الأهمية، وبحث للحظات تقنين كل مذهب من تلك المذاهب، ومراحل تطوره، وبعض تطبيقاته من كتب القوم، مع عقد مقارنات تبين نقاط الاتفاق والافتراق بين هذه </w:t>
      </w:r>
      <w:proofErr w:type="gramStart"/>
      <w:r w:rsidRPr="00573EF8">
        <w:rPr>
          <w:rFonts w:ascii="Traditional Arabic" w:hAnsi="Traditional Arabic"/>
          <w:sz w:val="32"/>
          <w:rtl/>
          <w:lang w:bidi="ar-EG"/>
        </w:rPr>
        <w:t>المذاهب .</w:t>
      </w:r>
      <w:proofErr w:type="gramEnd"/>
    </w:p>
    <w:p w14:paraId="7EF28AF9" w14:textId="77777777" w:rsidR="00FA4291" w:rsidRPr="00573EF8" w:rsidRDefault="001F7E3E" w:rsidP="00573EF8">
      <w:pPr>
        <w:jc w:val="lowKashida"/>
        <w:rPr>
          <w:rFonts w:ascii="Traditional Arabic" w:hAnsi="Traditional Arabic"/>
          <w:sz w:val="32"/>
          <w:rtl/>
          <w:lang w:bidi="ar-EG"/>
        </w:rPr>
      </w:pPr>
      <w:r w:rsidRPr="00573EF8">
        <w:rPr>
          <w:rFonts w:ascii="Traditional Arabic" w:hAnsi="Traditional Arabic"/>
          <w:sz w:val="32"/>
          <w:rtl/>
          <w:lang w:bidi="ar-EG"/>
        </w:rPr>
        <w:t>ثم عقد المؤلف فصلًا للحديث عن مناهج الوصل بين الظاهر والتأويل، وهي: منهج الوصل الظاهري</w:t>
      </w:r>
      <w:r w:rsidR="005C144A" w:rsidRPr="00573EF8">
        <w:rPr>
          <w:rFonts w:ascii="Traditional Arabic" w:hAnsi="Traditional Arabic"/>
          <w:sz w:val="32"/>
          <w:rtl/>
          <w:lang w:bidi="ar-EG"/>
        </w:rPr>
        <w:t xml:space="preserve">، (التوفيق بين الظاهر والـتأويل مع الميل للظاهر)، وهو مذهب أهل الحديث، وتحدث فيه عن الأطوار التي مر بها المذهب العقائدي لأهل الحديث، وتطور منهجهم في التأويل إلى الوصول إلى النظرية </w:t>
      </w:r>
      <w:proofErr w:type="spellStart"/>
      <w:r w:rsidR="005C144A" w:rsidRPr="00573EF8">
        <w:rPr>
          <w:rFonts w:ascii="Traditional Arabic" w:hAnsi="Traditional Arabic"/>
          <w:sz w:val="32"/>
          <w:rtl/>
          <w:lang w:bidi="ar-EG"/>
        </w:rPr>
        <w:t>التيمية</w:t>
      </w:r>
      <w:proofErr w:type="spellEnd"/>
      <w:r w:rsidR="005C144A" w:rsidRPr="00573EF8">
        <w:rPr>
          <w:rFonts w:ascii="Traditional Arabic" w:hAnsi="Traditional Arabic"/>
          <w:sz w:val="32"/>
          <w:rtl/>
          <w:lang w:bidi="ar-EG"/>
        </w:rPr>
        <w:t xml:space="preserve"> (نسبة لابن تيمية) في </w:t>
      </w:r>
      <w:proofErr w:type="gramStart"/>
      <w:r w:rsidR="005C144A" w:rsidRPr="00573EF8">
        <w:rPr>
          <w:rFonts w:ascii="Traditional Arabic" w:hAnsi="Traditional Arabic"/>
          <w:sz w:val="32"/>
          <w:rtl/>
          <w:lang w:bidi="ar-EG"/>
        </w:rPr>
        <w:t>التأويل .</w:t>
      </w:r>
      <w:proofErr w:type="gramEnd"/>
    </w:p>
    <w:p w14:paraId="39CA603A" w14:textId="77777777" w:rsidR="00FA4291" w:rsidRPr="00573EF8" w:rsidRDefault="005C144A"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والمنهج </w:t>
      </w:r>
      <w:proofErr w:type="spellStart"/>
      <w:r w:rsidRPr="00573EF8">
        <w:rPr>
          <w:rFonts w:ascii="Traditional Arabic" w:hAnsi="Traditional Arabic"/>
          <w:sz w:val="32"/>
          <w:rtl/>
          <w:lang w:bidi="ar-EG"/>
        </w:rPr>
        <w:t>الوصلي</w:t>
      </w:r>
      <w:proofErr w:type="spellEnd"/>
      <w:r w:rsidRPr="00573EF8">
        <w:rPr>
          <w:rFonts w:ascii="Traditional Arabic" w:hAnsi="Traditional Arabic"/>
          <w:sz w:val="32"/>
          <w:rtl/>
          <w:lang w:bidi="ar-EG"/>
        </w:rPr>
        <w:t xml:space="preserve"> الآخر، هو منهج (المتكلمين)، وهو منهج التوفيق بين الظاهر والتأويل مع الميل للتأويل، تحث فيه عن مفهوم الكلام، والحقب التي مر بها </w:t>
      </w:r>
      <w:r w:rsidR="00FA4291" w:rsidRPr="00573EF8">
        <w:rPr>
          <w:rFonts w:ascii="Traditional Arabic" w:hAnsi="Traditional Arabic"/>
          <w:sz w:val="32"/>
          <w:rtl/>
          <w:lang w:bidi="ar-EG"/>
        </w:rPr>
        <w:t xml:space="preserve">حتى وصلت صياغته النهائية إلى النظر إليه باعتبار وظائفه أو باعتبار </w:t>
      </w:r>
      <w:proofErr w:type="gramStart"/>
      <w:r w:rsidR="00FA4291" w:rsidRPr="00573EF8">
        <w:rPr>
          <w:rFonts w:ascii="Traditional Arabic" w:hAnsi="Traditional Arabic"/>
          <w:sz w:val="32"/>
          <w:rtl/>
          <w:lang w:bidi="ar-EG"/>
        </w:rPr>
        <w:t>موضوعاته</w:t>
      </w:r>
      <w:r w:rsidRPr="00573EF8">
        <w:rPr>
          <w:rFonts w:ascii="Traditional Arabic" w:hAnsi="Traditional Arabic"/>
          <w:sz w:val="32"/>
          <w:rtl/>
          <w:lang w:bidi="ar-EG"/>
        </w:rPr>
        <w:t xml:space="preserve"> .</w:t>
      </w:r>
      <w:proofErr w:type="gramEnd"/>
    </w:p>
    <w:p w14:paraId="23DA6EF5" w14:textId="77777777" w:rsidR="00FA4291" w:rsidRPr="00573EF8" w:rsidRDefault="005C144A"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وفصل الحديث عن المنهج التأويلي الكلامي عند المعتزلة، متبعًا إياه بالمنهج </w:t>
      </w:r>
      <w:proofErr w:type="spellStart"/>
      <w:r w:rsidR="001E3144" w:rsidRPr="00573EF8">
        <w:rPr>
          <w:rFonts w:ascii="Traditional Arabic" w:hAnsi="Traditional Arabic"/>
          <w:sz w:val="32"/>
          <w:rtl/>
          <w:lang w:bidi="ar-EG"/>
        </w:rPr>
        <w:t>االتأويلي</w:t>
      </w:r>
      <w:proofErr w:type="spellEnd"/>
      <w:r w:rsidR="001E3144" w:rsidRPr="00573EF8">
        <w:rPr>
          <w:rFonts w:ascii="Traditional Arabic" w:hAnsi="Traditional Arabic"/>
          <w:sz w:val="32"/>
          <w:rtl/>
          <w:lang w:bidi="ar-EG"/>
        </w:rPr>
        <w:t xml:space="preserve"> الكلامي عند الإباضية، ثم المنهج التأويلي الكلامي عند الزيدية، ف</w:t>
      </w:r>
      <w:r w:rsidR="00FA4291" w:rsidRPr="00573EF8">
        <w:rPr>
          <w:rFonts w:ascii="Traditional Arabic" w:hAnsi="Traditional Arabic"/>
          <w:sz w:val="32"/>
          <w:rtl/>
          <w:lang w:bidi="ar-EG"/>
        </w:rPr>
        <w:t>المنهج التأويلي الكلامي عند الشيعة الإمامية</w:t>
      </w:r>
      <w:r w:rsidR="001E3144" w:rsidRPr="00573EF8">
        <w:rPr>
          <w:rFonts w:ascii="Traditional Arabic" w:hAnsi="Traditional Arabic"/>
          <w:sz w:val="32"/>
          <w:rtl/>
          <w:lang w:bidi="ar-EG"/>
        </w:rPr>
        <w:t xml:space="preserve">، مختتمًا هذ الفصل بالحديث عن </w:t>
      </w:r>
      <w:r w:rsidR="00FA4291" w:rsidRPr="00573EF8">
        <w:rPr>
          <w:rFonts w:ascii="Traditional Arabic" w:hAnsi="Traditional Arabic"/>
          <w:sz w:val="32"/>
          <w:rtl/>
          <w:lang w:bidi="ar-EG"/>
        </w:rPr>
        <w:t>المذهب الرابع</w:t>
      </w:r>
      <w:r w:rsidR="001E3144" w:rsidRPr="00573EF8">
        <w:rPr>
          <w:rFonts w:ascii="Traditional Arabic" w:hAnsi="Traditional Arabic"/>
          <w:sz w:val="32"/>
          <w:rtl/>
          <w:lang w:bidi="ar-EG"/>
        </w:rPr>
        <w:t xml:space="preserve">، وهو: </w:t>
      </w:r>
      <w:r w:rsidR="00FA4291" w:rsidRPr="00573EF8">
        <w:rPr>
          <w:rFonts w:ascii="Traditional Arabic" w:hAnsi="Traditional Arabic"/>
          <w:sz w:val="32"/>
          <w:rtl/>
          <w:lang w:bidi="ar-EG"/>
        </w:rPr>
        <w:t>منهج التأويل الكلامي عند الأشعرية</w:t>
      </w:r>
      <w:r w:rsidR="001E3144" w:rsidRPr="00573EF8">
        <w:rPr>
          <w:rFonts w:ascii="Traditional Arabic" w:hAnsi="Traditional Arabic"/>
          <w:sz w:val="32"/>
          <w:rtl/>
          <w:lang w:bidi="ar-EG"/>
        </w:rPr>
        <w:t xml:space="preserve">، </w:t>
      </w:r>
      <w:proofErr w:type="spellStart"/>
      <w:r w:rsidR="001E3144" w:rsidRPr="00573EF8">
        <w:rPr>
          <w:rFonts w:ascii="Traditional Arabic" w:hAnsi="Traditional Arabic"/>
          <w:sz w:val="32"/>
          <w:rtl/>
          <w:lang w:bidi="ar-EG"/>
        </w:rPr>
        <w:t>و</w:t>
      </w:r>
      <w:r w:rsidR="00FA4291" w:rsidRPr="00573EF8">
        <w:rPr>
          <w:rFonts w:ascii="Traditional Arabic" w:hAnsi="Traditional Arabic"/>
          <w:sz w:val="32"/>
          <w:rtl/>
          <w:lang w:bidi="ar-EG"/>
        </w:rPr>
        <w:t>الماتريدية</w:t>
      </w:r>
      <w:proofErr w:type="spellEnd"/>
      <w:r w:rsidR="001E3144" w:rsidRPr="00573EF8">
        <w:rPr>
          <w:rFonts w:ascii="Traditional Arabic" w:hAnsi="Traditional Arabic"/>
          <w:sz w:val="32"/>
          <w:rtl/>
          <w:lang w:bidi="ar-EG"/>
        </w:rPr>
        <w:t>.</w:t>
      </w:r>
    </w:p>
    <w:p w14:paraId="0DDF7756" w14:textId="77777777" w:rsidR="00FA4291" w:rsidRPr="00573EF8" w:rsidRDefault="001E3144" w:rsidP="00573EF8">
      <w:pPr>
        <w:jc w:val="lowKashida"/>
        <w:rPr>
          <w:rFonts w:ascii="Traditional Arabic" w:hAnsi="Traditional Arabic"/>
          <w:sz w:val="32"/>
          <w:rtl/>
          <w:lang w:bidi="ar-EG"/>
        </w:rPr>
      </w:pPr>
      <w:r w:rsidRPr="00573EF8">
        <w:rPr>
          <w:rFonts w:ascii="Traditional Arabic" w:hAnsi="Traditional Arabic"/>
          <w:sz w:val="32"/>
          <w:rtl/>
          <w:lang w:bidi="ar-EG"/>
        </w:rPr>
        <w:t>ونبه المؤلف على مفارقة مهمة، وهي تلك "</w:t>
      </w:r>
      <w:r w:rsidR="00FA4291" w:rsidRPr="00573EF8">
        <w:rPr>
          <w:rFonts w:ascii="Traditional Arabic" w:hAnsi="Traditional Arabic"/>
          <w:sz w:val="32"/>
          <w:rtl/>
          <w:lang w:bidi="ar-EG"/>
        </w:rPr>
        <w:t xml:space="preserve">المفارقة التي تستوقفنا عند استعراض مقولات المذاهب الكلامية فيما يتعلق بقانون التأويل الكلامي أن تلك المذاهب قد اعتمدت على ذات القانون الذي استخدمته المعتزلة، وهي في نفس الوقت تتخذ موقف المخالفة للتأويل </w:t>
      </w:r>
      <w:proofErr w:type="spellStart"/>
      <w:r w:rsidR="00FA4291" w:rsidRPr="00573EF8">
        <w:rPr>
          <w:rFonts w:ascii="Traditional Arabic" w:hAnsi="Traditional Arabic"/>
          <w:sz w:val="32"/>
          <w:rtl/>
          <w:lang w:bidi="ar-EG"/>
        </w:rPr>
        <w:t>الاعتزالي</w:t>
      </w:r>
      <w:proofErr w:type="spellEnd"/>
      <w:r w:rsidRPr="00573EF8">
        <w:rPr>
          <w:rFonts w:ascii="Traditional Arabic" w:hAnsi="Traditional Arabic"/>
          <w:sz w:val="32"/>
          <w:rtl/>
          <w:lang w:bidi="ar-EG"/>
        </w:rPr>
        <w:t>"</w:t>
      </w:r>
      <w:r w:rsidR="00FA4291" w:rsidRPr="00573EF8">
        <w:rPr>
          <w:rFonts w:ascii="Traditional Arabic" w:hAnsi="Traditional Arabic"/>
          <w:sz w:val="32"/>
          <w:rtl/>
          <w:lang w:bidi="ar-EG"/>
        </w:rPr>
        <w:t xml:space="preserve">. </w:t>
      </w:r>
    </w:p>
    <w:p w14:paraId="50F1D8E9" w14:textId="77777777" w:rsidR="00FA4291" w:rsidRPr="00573EF8" w:rsidRDefault="001E3144"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وختم هذا الفصل بالحديث عن حدود مسلك التأويل، وموقف المتكلمين من حتمية خيار </w:t>
      </w:r>
      <w:proofErr w:type="gramStart"/>
      <w:r w:rsidRPr="00573EF8">
        <w:rPr>
          <w:rFonts w:ascii="Traditional Arabic" w:hAnsi="Traditional Arabic"/>
          <w:sz w:val="32"/>
          <w:rtl/>
          <w:lang w:bidi="ar-EG"/>
        </w:rPr>
        <w:t>التأويل .</w:t>
      </w:r>
      <w:proofErr w:type="gramEnd"/>
    </w:p>
    <w:p w14:paraId="691B4519" w14:textId="77777777" w:rsidR="00444FD3" w:rsidRPr="00573EF8" w:rsidRDefault="001E3144" w:rsidP="00573EF8">
      <w:pPr>
        <w:jc w:val="lowKashida"/>
        <w:rPr>
          <w:rFonts w:ascii="Traditional Arabic" w:hAnsi="Traditional Arabic"/>
          <w:sz w:val="32"/>
          <w:rtl/>
          <w:lang w:bidi="ar-EG"/>
        </w:rPr>
      </w:pPr>
      <w:r w:rsidRPr="00573EF8">
        <w:rPr>
          <w:rFonts w:ascii="Traditional Arabic" w:hAnsi="Traditional Arabic"/>
          <w:sz w:val="32"/>
          <w:rtl/>
          <w:lang w:bidi="ar-EG"/>
        </w:rPr>
        <w:t>وفي الفصل الثالث، والأخير في القسم الثاني من الكتاب، تكلم المؤلف عن مناهج الفصل بين الظاهر والتأويل، وفيه تحدث عن (الفلاسفة)، ونظرية التوفيق بين الشريعة والفلسفة، ومنهج التأويل المش</w:t>
      </w:r>
      <w:r w:rsidR="00881B5C" w:rsidRPr="00573EF8">
        <w:rPr>
          <w:rFonts w:ascii="Traditional Arabic" w:hAnsi="Traditional Arabic"/>
          <w:sz w:val="32"/>
          <w:rtl/>
          <w:lang w:bidi="ar-EG"/>
        </w:rPr>
        <w:t xml:space="preserve">ائي (الفصل بين الظاهر والتأويل)، وختمه بعقد </w:t>
      </w:r>
      <w:r w:rsidR="00FA4291" w:rsidRPr="00573EF8">
        <w:rPr>
          <w:rFonts w:ascii="Traditional Arabic" w:hAnsi="Traditional Arabic"/>
          <w:sz w:val="32"/>
          <w:rtl/>
          <w:lang w:bidi="ar-EG"/>
        </w:rPr>
        <w:t>مقارنة بين المنهج الإشراقي والمنهج الصوفي في التأويل</w:t>
      </w:r>
      <w:r w:rsidR="00881B5C" w:rsidRPr="00573EF8">
        <w:rPr>
          <w:rFonts w:ascii="Traditional Arabic" w:hAnsi="Traditional Arabic"/>
          <w:sz w:val="32"/>
          <w:rtl/>
          <w:lang w:bidi="ar-EG"/>
        </w:rPr>
        <w:t>.</w:t>
      </w:r>
    </w:p>
    <w:p w14:paraId="5636C3D8" w14:textId="77777777" w:rsidR="00881B5C" w:rsidRPr="00573EF8" w:rsidRDefault="00881B5C" w:rsidP="00573EF8">
      <w:pPr>
        <w:jc w:val="lowKashida"/>
        <w:rPr>
          <w:rFonts w:ascii="Traditional Arabic" w:hAnsi="Traditional Arabic"/>
          <w:sz w:val="32"/>
          <w:rtl/>
          <w:lang w:bidi="ar-EG"/>
        </w:rPr>
      </w:pPr>
      <w:r w:rsidRPr="00573EF8">
        <w:rPr>
          <w:rFonts w:ascii="Traditional Arabic" w:hAnsi="Traditional Arabic"/>
          <w:sz w:val="32"/>
          <w:rtl/>
          <w:lang w:bidi="ar-EG"/>
        </w:rPr>
        <w:lastRenderedPageBreak/>
        <w:t>يبدأ بعد ذلك القسم الثالث من الكتاب، والذي عنون له المؤلف:</w:t>
      </w:r>
    </w:p>
    <w:p w14:paraId="0E0427AA" w14:textId="77777777" w:rsidR="00881B5C" w:rsidRPr="00573EF8" w:rsidRDefault="00881B5C" w:rsidP="00573EF8">
      <w:pPr>
        <w:jc w:val="lowKashida"/>
        <w:rPr>
          <w:rFonts w:ascii="Traditional Arabic" w:hAnsi="Traditional Arabic"/>
          <w:sz w:val="32"/>
          <w:rtl/>
          <w:lang w:bidi="ar-EG"/>
        </w:rPr>
      </w:pPr>
      <w:r w:rsidRPr="00573EF8">
        <w:rPr>
          <w:rFonts w:ascii="Traditional Arabic" w:hAnsi="Traditional Arabic"/>
          <w:sz w:val="32"/>
          <w:rtl/>
          <w:lang w:bidi="ar-EG"/>
        </w:rPr>
        <w:t>تَأْثِيرُ الْعَقَائِدِيَّةِ فِي تَفْسِيرِ النَّصِّ الْقُرْآنِيِّ - (الْإِشْكَالِيَّاتُ - الْأَدْوَاتُ - الْـمُدَوَّنَاتُ)</w:t>
      </w:r>
    </w:p>
    <w:p w14:paraId="50725157" w14:textId="77777777" w:rsidR="00881B5C" w:rsidRPr="00573EF8" w:rsidRDefault="00881B5C" w:rsidP="00573EF8">
      <w:pPr>
        <w:jc w:val="lowKashida"/>
        <w:rPr>
          <w:rFonts w:ascii="Traditional Arabic" w:hAnsi="Traditional Arabic"/>
          <w:sz w:val="32"/>
          <w:rtl/>
        </w:rPr>
      </w:pPr>
      <w:r w:rsidRPr="00573EF8">
        <w:rPr>
          <w:rFonts w:ascii="Traditional Arabic" w:hAnsi="Traditional Arabic"/>
          <w:sz w:val="32"/>
          <w:rtl/>
          <w:cs/>
        </w:rPr>
        <w:t>"إذا نحن أجرينا قراءةً راجعةً للمناهج عند مختلف الطوائف في التفسير؛</w:t>
      </w:r>
      <w:r w:rsidRPr="00573EF8">
        <w:rPr>
          <w:rFonts w:ascii="Traditional Arabic" w:hAnsi="Traditional Arabic"/>
          <w:sz w:val="32"/>
          <w:rtl/>
        </w:rPr>
        <w:t xml:space="preserve"> سنجد أنَّها أنتجت معها</w:t>
      </w:r>
      <w:r w:rsidRPr="00573EF8">
        <w:rPr>
          <w:rFonts w:ascii="Traditional Arabic" w:hAnsi="Traditional Arabic"/>
          <w:sz w:val="32"/>
          <w:rtl/>
          <w:cs/>
        </w:rPr>
        <w:t xml:space="preserve"> أهم الإشكاليات التي ظلَّت مُتحكِّمة في عملية إنتاج التفسير، </w:t>
      </w:r>
      <w:r w:rsidRPr="00573EF8">
        <w:rPr>
          <w:rFonts w:ascii="Traditional Arabic" w:hAnsi="Traditional Arabic"/>
          <w:b/>
          <w:bCs/>
          <w:sz w:val="32"/>
          <w:rtl/>
          <w:cs/>
        </w:rPr>
        <w:t>ويُمكن توضيح ذلك في الجدول التالي</w:t>
      </w:r>
      <w:r w:rsidRPr="00573EF8">
        <w:rPr>
          <w:rFonts w:ascii="Traditional Arabic" w:hAnsi="Traditional Arabic"/>
          <w:b/>
          <w:bCs/>
          <w:sz w:val="32"/>
          <w:rtl/>
        </w:rPr>
        <w:t xml:space="preserve">: </w:t>
      </w:r>
    </w:p>
    <w:tbl>
      <w:tblPr>
        <w:tblStyle w:val="a8"/>
        <w:bidiVisual/>
        <w:tblW w:w="0" w:type="auto"/>
        <w:jc w:val="center"/>
        <w:tblLook w:val="04A0" w:firstRow="1" w:lastRow="0" w:firstColumn="1" w:lastColumn="0" w:noHBand="0" w:noVBand="1"/>
      </w:tblPr>
      <w:tblGrid>
        <w:gridCol w:w="2830"/>
        <w:gridCol w:w="2833"/>
        <w:gridCol w:w="2859"/>
      </w:tblGrid>
      <w:tr w:rsidR="00881B5C" w:rsidRPr="00573EF8" w14:paraId="32E115BC" w14:textId="77777777" w:rsidTr="00573EF8">
        <w:trPr>
          <w:jc w:val="center"/>
        </w:trPr>
        <w:tc>
          <w:tcPr>
            <w:tcW w:w="3432" w:type="dxa"/>
          </w:tcPr>
          <w:p w14:paraId="4CA7535E"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b/>
                <w:bCs/>
                <w:sz w:val="32"/>
                <w:rtl/>
              </w:rPr>
              <w:t>المنهج</w:t>
            </w:r>
          </w:p>
        </w:tc>
        <w:tc>
          <w:tcPr>
            <w:tcW w:w="3432" w:type="dxa"/>
          </w:tcPr>
          <w:p w14:paraId="4A36120B"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b/>
                <w:bCs/>
                <w:sz w:val="32"/>
                <w:rtl/>
              </w:rPr>
              <w:t>الطائفة</w:t>
            </w:r>
          </w:p>
        </w:tc>
        <w:tc>
          <w:tcPr>
            <w:tcW w:w="3432" w:type="dxa"/>
          </w:tcPr>
          <w:p w14:paraId="175F021F"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b/>
                <w:bCs/>
                <w:sz w:val="32"/>
                <w:rtl/>
              </w:rPr>
              <w:t>الإشكالية</w:t>
            </w:r>
          </w:p>
        </w:tc>
      </w:tr>
      <w:tr w:rsidR="00881B5C" w:rsidRPr="00573EF8" w14:paraId="2FE05A66" w14:textId="77777777" w:rsidTr="00573EF8">
        <w:trPr>
          <w:jc w:val="center"/>
        </w:trPr>
        <w:tc>
          <w:tcPr>
            <w:tcW w:w="3432" w:type="dxa"/>
          </w:tcPr>
          <w:p w14:paraId="000BA92A"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الإيغال في الأخذ بالظاهر</w:t>
            </w:r>
          </w:p>
        </w:tc>
        <w:tc>
          <w:tcPr>
            <w:tcW w:w="3432" w:type="dxa"/>
          </w:tcPr>
          <w:p w14:paraId="5A6557E5"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الخوارج</w:t>
            </w:r>
          </w:p>
        </w:tc>
        <w:tc>
          <w:tcPr>
            <w:tcW w:w="3432" w:type="dxa"/>
          </w:tcPr>
          <w:p w14:paraId="7CE9C966"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إشكالية المحكم والمتشابه</w:t>
            </w:r>
          </w:p>
        </w:tc>
      </w:tr>
      <w:tr w:rsidR="00881B5C" w:rsidRPr="00573EF8" w14:paraId="44455AA3" w14:textId="77777777" w:rsidTr="00573EF8">
        <w:trPr>
          <w:jc w:val="center"/>
        </w:trPr>
        <w:tc>
          <w:tcPr>
            <w:tcW w:w="3432" w:type="dxa"/>
          </w:tcPr>
          <w:p w14:paraId="4CF8B6C6"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الإيغال في الباطن</w:t>
            </w:r>
          </w:p>
        </w:tc>
        <w:tc>
          <w:tcPr>
            <w:tcW w:w="3432" w:type="dxa"/>
          </w:tcPr>
          <w:p w14:paraId="7C889AD9"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الشيعة</w:t>
            </w:r>
          </w:p>
        </w:tc>
        <w:tc>
          <w:tcPr>
            <w:tcW w:w="3432" w:type="dxa"/>
          </w:tcPr>
          <w:p w14:paraId="1FA97DA1"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إشكالية الظاهر والباطن</w:t>
            </w:r>
          </w:p>
        </w:tc>
      </w:tr>
      <w:tr w:rsidR="00881B5C" w:rsidRPr="00573EF8" w14:paraId="3B8F9B79" w14:textId="77777777" w:rsidTr="00573EF8">
        <w:trPr>
          <w:jc w:val="center"/>
        </w:trPr>
        <w:tc>
          <w:tcPr>
            <w:tcW w:w="3432" w:type="dxa"/>
          </w:tcPr>
          <w:p w14:paraId="33B2EE31"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التوفيق بين الظاهر والتأويل</w:t>
            </w:r>
          </w:p>
        </w:tc>
        <w:tc>
          <w:tcPr>
            <w:tcW w:w="3432" w:type="dxa"/>
          </w:tcPr>
          <w:p w14:paraId="72689282"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المعتزلة</w:t>
            </w:r>
          </w:p>
        </w:tc>
        <w:tc>
          <w:tcPr>
            <w:tcW w:w="3432" w:type="dxa"/>
          </w:tcPr>
          <w:p w14:paraId="30C974B9"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إشكالية العقل وظاهر النقل</w:t>
            </w:r>
          </w:p>
        </w:tc>
      </w:tr>
      <w:tr w:rsidR="00881B5C" w:rsidRPr="00573EF8" w14:paraId="1398FBB5" w14:textId="77777777" w:rsidTr="00573EF8">
        <w:trPr>
          <w:jc w:val="center"/>
        </w:trPr>
        <w:tc>
          <w:tcPr>
            <w:tcW w:w="3432" w:type="dxa"/>
          </w:tcPr>
          <w:p w14:paraId="0F4C48A0"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التوفيق بين الشريعة والفلسفة</w:t>
            </w:r>
          </w:p>
        </w:tc>
        <w:tc>
          <w:tcPr>
            <w:tcW w:w="3432" w:type="dxa"/>
          </w:tcPr>
          <w:p w14:paraId="7C8AE987"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الفلاسفة</w:t>
            </w:r>
          </w:p>
        </w:tc>
        <w:tc>
          <w:tcPr>
            <w:tcW w:w="3432" w:type="dxa"/>
          </w:tcPr>
          <w:p w14:paraId="782DE437" w14:textId="77777777" w:rsidR="00881B5C" w:rsidRPr="00573EF8" w:rsidRDefault="00881B5C" w:rsidP="00573EF8">
            <w:pPr>
              <w:spacing w:after="200" w:line="276" w:lineRule="auto"/>
              <w:jc w:val="lowKashida"/>
              <w:rPr>
                <w:rFonts w:ascii="Traditional Arabic" w:hAnsi="Traditional Arabic"/>
                <w:sz w:val="32"/>
                <w:lang w:bidi="ar-EG"/>
              </w:rPr>
            </w:pPr>
            <w:r w:rsidRPr="00573EF8">
              <w:rPr>
                <w:rFonts w:ascii="Traditional Arabic" w:hAnsi="Traditional Arabic"/>
                <w:sz w:val="32"/>
                <w:rtl/>
              </w:rPr>
              <w:t>إشكالية البرهان والقرآن</w:t>
            </w:r>
          </w:p>
        </w:tc>
      </w:tr>
    </w:tbl>
    <w:p w14:paraId="6EFD0D9E" w14:textId="77777777" w:rsidR="00881B5C" w:rsidRDefault="00881B5C" w:rsidP="00573EF8">
      <w:pPr>
        <w:jc w:val="lowKashida"/>
        <w:rPr>
          <w:rFonts w:ascii="Traditional Arabic" w:hAnsi="Traditional Arabic"/>
          <w:sz w:val="32"/>
          <w:rtl/>
          <w:lang w:bidi="ar-EG"/>
        </w:rPr>
      </w:pPr>
      <w:r w:rsidRPr="00573EF8">
        <w:rPr>
          <w:rFonts w:ascii="Traditional Arabic" w:hAnsi="Traditional Arabic"/>
          <w:sz w:val="32"/>
          <w:rtl/>
          <w:lang w:bidi="ar-EG"/>
        </w:rPr>
        <w:t>ويعد هذا القسم بمثابة إعادة استخلاص وترتيب لما أنتجته المناهج السابقة".</w:t>
      </w:r>
    </w:p>
    <w:p w14:paraId="7D004F72" w14:textId="77777777" w:rsidR="00881B5C" w:rsidRDefault="00573EF8" w:rsidP="00573EF8">
      <w:pPr>
        <w:jc w:val="lowKashida"/>
        <w:rPr>
          <w:rFonts w:ascii="Traditional Arabic" w:hAnsi="Traditional Arabic"/>
          <w:sz w:val="32"/>
          <w:rtl/>
          <w:lang w:bidi="ar-EG"/>
        </w:rPr>
      </w:pPr>
      <w:r>
        <w:rPr>
          <w:rFonts w:ascii="Traditional Arabic" w:hAnsi="Traditional Arabic" w:hint="cs"/>
          <w:sz w:val="32"/>
          <w:rtl/>
          <w:lang w:bidi="ar-EG"/>
        </w:rPr>
        <w:t xml:space="preserve">وتميز هذا القسم بكثرة التطبيق، والتمثيل لأثر هذه الإشكاليات في المدونة التفسيرية، عبر رصد للحضور العقائدي في مدونة التفسير عند أهل الحديث، وعند المنهج الباطني، ومدونة التفسير الصوفية، ومدونة التفسير الكلامية (الإباضية - الزيدية - المعتزلة - الأشعرية - </w:t>
      </w:r>
      <w:proofErr w:type="spellStart"/>
      <w:r>
        <w:rPr>
          <w:rFonts w:ascii="Traditional Arabic" w:hAnsi="Traditional Arabic" w:hint="cs"/>
          <w:sz w:val="32"/>
          <w:rtl/>
          <w:lang w:bidi="ar-EG"/>
        </w:rPr>
        <w:t>الماتريدية</w:t>
      </w:r>
      <w:proofErr w:type="spellEnd"/>
      <w:r>
        <w:rPr>
          <w:rFonts w:ascii="Traditional Arabic" w:hAnsi="Traditional Arabic" w:hint="cs"/>
          <w:sz w:val="32"/>
          <w:rtl/>
          <w:lang w:bidi="ar-EG"/>
        </w:rPr>
        <w:t>).</w:t>
      </w:r>
    </w:p>
    <w:p w14:paraId="0FF4BBBB" w14:textId="77777777" w:rsidR="00573EF8" w:rsidRDefault="00573EF8" w:rsidP="00573EF8">
      <w:pPr>
        <w:jc w:val="lowKashida"/>
        <w:rPr>
          <w:rFonts w:ascii="Traditional Arabic" w:hAnsi="Traditional Arabic"/>
          <w:sz w:val="32"/>
          <w:rtl/>
          <w:lang w:bidi="ar-EG"/>
        </w:rPr>
      </w:pPr>
      <w:r>
        <w:rPr>
          <w:rFonts w:ascii="Traditional Arabic" w:hAnsi="Traditional Arabic" w:hint="cs"/>
          <w:sz w:val="32"/>
          <w:rtl/>
          <w:lang w:bidi="ar-EG"/>
        </w:rPr>
        <w:t xml:space="preserve">وذلك عبر رصد طبيعة التدوين التفسيري لدى تلك الطوائف، ودوافع التدوين العقائدية، والتداخلات العقائدية، وكتب </w:t>
      </w:r>
      <w:proofErr w:type="gramStart"/>
      <w:r>
        <w:rPr>
          <w:rFonts w:ascii="Traditional Arabic" w:hAnsi="Traditional Arabic" w:hint="cs"/>
          <w:sz w:val="32"/>
          <w:rtl/>
          <w:lang w:bidi="ar-EG"/>
        </w:rPr>
        <w:t>التفسير .</w:t>
      </w:r>
      <w:proofErr w:type="gramEnd"/>
    </w:p>
    <w:p w14:paraId="3AD2BD64" w14:textId="77777777" w:rsidR="00881B5C" w:rsidRPr="00573EF8" w:rsidRDefault="00573EF8" w:rsidP="003B4010">
      <w:pPr>
        <w:jc w:val="lowKashida"/>
        <w:rPr>
          <w:rFonts w:ascii="Traditional Arabic" w:hAnsi="Traditional Arabic"/>
          <w:sz w:val="32"/>
          <w:rtl/>
          <w:lang w:bidi="ar-EG"/>
        </w:rPr>
      </w:pPr>
      <w:r>
        <w:rPr>
          <w:rFonts w:ascii="Traditional Arabic" w:hAnsi="Traditional Arabic" w:hint="cs"/>
          <w:sz w:val="32"/>
          <w:rtl/>
          <w:lang w:bidi="ar-EG"/>
        </w:rPr>
        <w:t xml:space="preserve">وفي الفصل الأخير، </w:t>
      </w:r>
      <w:r w:rsidR="003B4010">
        <w:rPr>
          <w:rFonts w:ascii="Traditional Arabic" w:hAnsi="Traditional Arabic" w:hint="cs"/>
          <w:sz w:val="32"/>
          <w:rtl/>
          <w:lang w:bidi="ar-EG"/>
        </w:rPr>
        <w:t xml:space="preserve">بين المؤلف </w:t>
      </w:r>
      <w:r w:rsidR="00881B5C" w:rsidRPr="00573EF8">
        <w:rPr>
          <w:rFonts w:ascii="Traditional Arabic" w:hAnsi="Traditional Arabic"/>
          <w:sz w:val="32"/>
          <w:rtl/>
          <w:lang w:bidi="ar-EG"/>
        </w:rPr>
        <w:t xml:space="preserve">إلى أيِّ حد ساعد النص القرآني هذه الطوائف المختلفة على إمكانية تلك الاستدلالات </w:t>
      </w:r>
      <w:r w:rsidR="003B4010">
        <w:rPr>
          <w:rFonts w:ascii="Traditional Arabic" w:hAnsi="Traditional Arabic"/>
          <w:sz w:val="32"/>
          <w:rtl/>
          <w:lang w:bidi="ar-EG"/>
        </w:rPr>
        <w:t>المتعارضة والمختلفة فيما بينها</w:t>
      </w:r>
      <w:r w:rsidR="003B4010">
        <w:rPr>
          <w:rFonts w:ascii="Traditional Arabic" w:hAnsi="Traditional Arabic" w:hint="cs"/>
          <w:sz w:val="32"/>
          <w:rtl/>
          <w:lang w:bidi="ar-EG"/>
        </w:rPr>
        <w:t>، وذلك عبر قضيتين:</w:t>
      </w:r>
      <w:r w:rsidR="00881B5C" w:rsidRPr="00573EF8">
        <w:rPr>
          <w:rFonts w:ascii="Traditional Arabic" w:hAnsi="Traditional Arabic"/>
          <w:sz w:val="32"/>
          <w:rtl/>
          <w:lang w:bidi="ar-EG"/>
        </w:rPr>
        <w:t xml:space="preserve"> </w:t>
      </w:r>
    </w:p>
    <w:p w14:paraId="41B8719B" w14:textId="77777777" w:rsidR="00881B5C" w:rsidRPr="00573EF8" w:rsidRDefault="00881B5C" w:rsidP="003B4010">
      <w:pPr>
        <w:jc w:val="lowKashida"/>
        <w:rPr>
          <w:rFonts w:ascii="Traditional Arabic" w:hAnsi="Traditional Arabic"/>
          <w:sz w:val="32"/>
          <w:rtl/>
          <w:lang w:bidi="ar-EG"/>
        </w:rPr>
      </w:pPr>
      <w:r w:rsidRPr="00573EF8">
        <w:rPr>
          <w:rFonts w:ascii="Traditional Arabic" w:hAnsi="Traditional Arabic"/>
          <w:sz w:val="32"/>
          <w:rtl/>
          <w:lang w:bidi="ar-EG"/>
        </w:rPr>
        <w:t>الأولى: تحليل طبيعة هذا النص، ومن ثَمَّ مدى قابليته لمثل هذا الاختلاف في الاستدلال.</w:t>
      </w:r>
    </w:p>
    <w:p w14:paraId="5BEB1DB3" w14:textId="77777777" w:rsidR="00881B5C" w:rsidRPr="00573EF8" w:rsidRDefault="00881B5C" w:rsidP="00573EF8">
      <w:pPr>
        <w:jc w:val="lowKashida"/>
        <w:rPr>
          <w:rFonts w:ascii="Traditional Arabic" w:hAnsi="Traditional Arabic"/>
          <w:sz w:val="32"/>
          <w:rtl/>
          <w:lang w:bidi="ar-EG"/>
        </w:rPr>
      </w:pPr>
      <w:r w:rsidRPr="00573EF8">
        <w:rPr>
          <w:rFonts w:ascii="Traditional Arabic" w:hAnsi="Traditional Arabic"/>
          <w:sz w:val="32"/>
          <w:rtl/>
          <w:lang w:bidi="ar-EG"/>
        </w:rPr>
        <w:t xml:space="preserve">والثانية: تحليل طبيعة </w:t>
      </w:r>
      <w:proofErr w:type="spellStart"/>
      <w:r w:rsidRPr="00573EF8">
        <w:rPr>
          <w:rFonts w:ascii="Traditional Arabic" w:hAnsi="Traditional Arabic"/>
          <w:sz w:val="32"/>
          <w:rtl/>
          <w:lang w:bidi="ar-EG"/>
        </w:rPr>
        <w:t>الفهوم</w:t>
      </w:r>
      <w:proofErr w:type="spellEnd"/>
      <w:r w:rsidRPr="00573EF8">
        <w:rPr>
          <w:rFonts w:ascii="Traditional Arabic" w:hAnsi="Traditional Arabic"/>
          <w:sz w:val="32"/>
          <w:rtl/>
          <w:lang w:bidi="ar-EG"/>
        </w:rPr>
        <w:t xml:space="preserve"> المختلفة التي قُدمت في فهم النص، ومن ثَمَّ النظر في أي نوع من اختلاف </w:t>
      </w:r>
      <w:proofErr w:type="spellStart"/>
      <w:r w:rsidRPr="00573EF8">
        <w:rPr>
          <w:rFonts w:ascii="Traditional Arabic" w:hAnsi="Traditional Arabic"/>
          <w:sz w:val="32"/>
          <w:rtl/>
          <w:lang w:bidi="ar-EG"/>
        </w:rPr>
        <w:t>الفهوم</w:t>
      </w:r>
      <w:proofErr w:type="spellEnd"/>
      <w:r w:rsidRPr="00573EF8">
        <w:rPr>
          <w:rFonts w:ascii="Traditional Arabic" w:hAnsi="Traditional Arabic"/>
          <w:sz w:val="32"/>
          <w:rtl/>
          <w:lang w:bidi="ar-EG"/>
        </w:rPr>
        <w:t xml:space="preserve"> هو الذي يؤثر على مقاصد النص.</w:t>
      </w:r>
    </w:p>
    <w:p w14:paraId="65DF466C" w14:textId="77777777" w:rsidR="00881B5C" w:rsidRDefault="003B4010" w:rsidP="003B4010">
      <w:pPr>
        <w:jc w:val="lowKashida"/>
        <w:rPr>
          <w:rFonts w:ascii="Traditional Arabic" w:hAnsi="Traditional Arabic"/>
          <w:sz w:val="32"/>
          <w:rtl/>
          <w:lang w:bidi="ar-EG"/>
        </w:rPr>
      </w:pPr>
      <w:r>
        <w:rPr>
          <w:rFonts w:ascii="Traditional Arabic" w:hAnsi="Traditional Arabic" w:hint="cs"/>
          <w:sz w:val="32"/>
          <w:rtl/>
          <w:lang w:bidi="ar-EG"/>
        </w:rPr>
        <w:lastRenderedPageBreak/>
        <w:t xml:space="preserve">ومن اللطائف التي أشار إليها، ذكره </w:t>
      </w:r>
      <w:r w:rsidR="00881B5C" w:rsidRPr="00573EF8">
        <w:rPr>
          <w:rFonts w:ascii="Traditional Arabic" w:hAnsi="Traditional Arabic"/>
          <w:sz w:val="32"/>
          <w:rtl/>
          <w:lang w:bidi="ar-EG"/>
        </w:rPr>
        <w:t xml:space="preserve">التدابير المساعدة على تجاوز </w:t>
      </w:r>
      <w:proofErr w:type="spellStart"/>
      <w:r w:rsidR="00881B5C" w:rsidRPr="00573EF8">
        <w:rPr>
          <w:rFonts w:ascii="Traditional Arabic" w:hAnsi="Traditional Arabic"/>
          <w:sz w:val="32"/>
          <w:rtl/>
          <w:lang w:bidi="ar-EG"/>
        </w:rPr>
        <w:t>ابتلائية</w:t>
      </w:r>
      <w:proofErr w:type="spellEnd"/>
      <w:r w:rsidR="00881B5C" w:rsidRPr="00573EF8">
        <w:rPr>
          <w:rFonts w:ascii="Traditional Arabic" w:hAnsi="Traditional Arabic"/>
          <w:sz w:val="32"/>
          <w:rtl/>
          <w:lang w:bidi="ar-EG"/>
        </w:rPr>
        <w:t xml:space="preserve"> التأويل</w:t>
      </w:r>
      <w:r>
        <w:rPr>
          <w:rFonts w:ascii="Traditional Arabic" w:hAnsi="Traditional Arabic" w:hint="cs"/>
          <w:sz w:val="32"/>
          <w:rtl/>
          <w:lang w:bidi="ar-EG"/>
        </w:rPr>
        <w:t xml:space="preserve">، وذكر أنه </w:t>
      </w:r>
      <w:r w:rsidR="00881B5C" w:rsidRPr="00573EF8">
        <w:rPr>
          <w:rFonts w:ascii="Traditional Arabic" w:hAnsi="Traditional Arabic"/>
          <w:sz w:val="32"/>
          <w:rtl/>
          <w:lang w:bidi="ar-EG"/>
        </w:rPr>
        <w:t>يُمكن أن نرج</w:t>
      </w:r>
      <w:r>
        <w:rPr>
          <w:rFonts w:ascii="Traditional Arabic" w:hAnsi="Traditional Arabic"/>
          <w:sz w:val="32"/>
          <w:rtl/>
          <w:lang w:bidi="ar-EG"/>
        </w:rPr>
        <w:t xml:space="preserve">ع هذه التدابير إلى أربعة أمور: </w:t>
      </w:r>
      <w:r>
        <w:rPr>
          <w:rFonts w:ascii="Traditional Arabic" w:hAnsi="Traditional Arabic" w:hint="cs"/>
          <w:sz w:val="32"/>
          <w:rtl/>
          <w:lang w:bidi="ar-EG"/>
        </w:rPr>
        <w:t>(</w:t>
      </w:r>
      <w:r w:rsidR="00881B5C" w:rsidRPr="00573EF8">
        <w:rPr>
          <w:rFonts w:ascii="Traditional Arabic" w:hAnsi="Traditional Arabic"/>
          <w:sz w:val="32"/>
          <w:rtl/>
          <w:lang w:bidi="ar-EG"/>
        </w:rPr>
        <w:t>صفات النص - ل</w:t>
      </w:r>
      <w:r>
        <w:rPr>
          <w:rFonts w:ascii="Traditional Arabic" w:hAnsi="Traditional Arabic"/>
          <w:sz w:val="32"/>
          <w:rtl/>
          <w:lang w:bidi="ar-EG"/>
        </w:rPr>
        <w:t>غة النص - مبلغ النص – قارئ النص</w:t>
      </w:r>
      <w:r>
        <w:rPr>
          <w:rFonts w:ascii="Traditional Arabic" w:hAnsi="Traditional Arabic" w:hint="cs"/>
          <w:sz w:val="32"/>
          <w:rtl/>
          <w:lang w:bidi="ar-EG"/>
        </w:rPr>
        <w:t>)</w:t>
      </w:r>
      <w:r w:rsidR="00881B5C" w:rsidRPr="00573EF8">
        <w:rPr>
          <w:rFonts w:ascii="Traditional Arabic" w:hAnsi="Traditional Arabic"/>
          <w:sz w:val="32"/>
          <w:rtl/>
          <w:lang w:bidi="ar-EG"/>
        </w:rPr>
        <w:t>.</w:t>
      </w:r>
    </w:p>
    <w:p w14:paraId="419D9ABD" w14:textId="77777777" w:rsidR="003B4010" w:rsidRPr="00573EF8" w:rsidRDefault="003B4010" w:rsidP="003B4010">
      <w:pPr>
        <w:jc w:val="lowKashida"/>
        <w:rPr>
          <w:rFonts w:ascii="Traditional Arabic" w:hAnsi="Traditional Arabic"/>
          <w:sz w:val="32"/>
          <w:rtl/>
          <w:lang w:bidi="ar-EG"/>
        </w:rPr>
      </w:pPr>
    </w:p>
    <w:p w14:paraId="56462804" w14:textId="77777777" w:rsidR="00881B5C" w:rsidRPr="003B4010" w:rsidRDefault="00881B5C" w:rsidP="00573EF8">
      <w:pPr>
        <w:jc w:val="lowKashida"/>
        <w:rPr>
          <w:rFonts w:ascii="Traditional Arabic" w:hAnsi="Traditional Arabic"/>
          <w:b/>
          <w:bCs/>
          <w:sz w:val="32"/>
          <w:rtl/>
          <w:lang w:bidi="ar-EG"/>
        </w:rPr>
      </w:pPr>
      <w:r w:rsidRPr="003B4010">
        <w:rPr>
          <w:rFonts w:ascii="Traditional Arabic" w:hAnsi="Traditional Arabic"/>
          <w:b/>
          <w:bCs/>
          <w:sz w:val="32"/>
          <w:rtl/>
          <w:lang w:bidi="ar-EG"/>
        </w:rPr>
        <w:t>وفي نهاية هذه القراءة:</w:t>
      </w:r>
    </w:p>
    <w:p w14:paraId="5C79F5BF" w14:textId="77777777" w:rsidR="00B00AE9" w:rsidRDefault="00B00AE9" w:rsidP="003B4010">
      <w:pPr>
        <w:jc w:val="lowKashida"/>
        <w:rPr>
          <w:rFonts w:ascii="Traditional Arabic" w:hAnsi="Traditional Arabic"/>
          <w:sz w:val="32"/>
          <w:rtl/>
          <w:lang w:bidi="ar-EG"/>
        </w:rPr>
      </w:pPr>
      <w:r>
        <w:rPr>
          <w:rFonts w:ascii="Traditional Arabic" w:hAnsi="Traditional Arabic" w:hint="cs"/>
          <w:sz w:val="32"/>
          <w:rtl/>
          <w:lang w:bidi="ar-EG"/>
        </w:rPr>
        <w:t xml:space="preserve">لقد تميز هذا الكتاب بجدة الطرح، وجودة التحليل، مع إحسان في عرض المادة العلمية، وكثرة الأمثلة الدالة على الفكرة </w:t>
      </w:r>
      <w:proofErr w:type="gramStart"/>
      <w:r>
        <w:rPr>
          <w:rFonts w:ascii="Traditional Arabic" w:hAnsi="Traditional Arabic" w:hint="cs"/>
          <w:sz w:val="32"/>
          <w:rtl/>
          <w:lang w:bidi="ar-EG"/>
        </w:rPr>
        <w:t>الواحدة .</w:t>
      </w:r>
      <w:proofErr w:type="gramEnd"/>
    </w:p>
    <w:p w14:paraId="4DD5877D" w14:textId="77777777" w:rsidR="00881B5C" w:rsidRPr="00573EF8" w:rsidRDefault="00B00AE9" w:rsidP="003B4010">
      <w:pPr>
        <w:jc w:val="lowKashida"/>
        <w:rPr>
          <w:rFonts w:ascii="Traditional Arabic" w:hAnsi="Traditional Arabic"/>
          <w:sz w:val="32"/>
          <w:lang w:bidi="ar-EG"/>
        </w:rPr>
      </w:pPr>
      <w:r>
        <w:rPr>
          <w:rFonts w:ascii="Traditional Arabic" w:hAnsi="Traditional Arabic" w:hint="cs"/>
          <w:sz w:val="32"/>
          <w:rtl/>
          <w:lang w:bidi="ar-EG"/>
        </w:rPr>
        <w:t>وختامًا: ل</w:t>
      </w:r>
      <w:r w:rsidR="00881B5C" w:rsidRPr="00573EF8">
        <w:rPr>
          <w:rFonts w:ascii="Traditional Arabic" w:hAnsi="Traditional Arabic"/>
          <w:sz w:val="32"/>
          <w:rtl/>
          <w:lang w:bidi="ar-EG"/>
        </w:rPr>
        <w:t xml:space="preserve">م يكن ما سبق إلا لمحات مما تعثر عليه عبر قراءة هذا السفر، والذي يمكن أن يستفيد </w:t>
      </w:r>
      <w:r w:rsidR="003B4010">
        <w:rPr>
          <w:rFonts w:ascii="Traditional Arabic" w:hAnsi="Traditional Arabic" w:hint="cs"/>
          <w:sz w:val="32"/>
          <w:rtl/>
          <w:lang w:bidi="ar-EG"/>
        </w:rPr>
        <w:t>منه</w:t>
      </w:r>
      <w:r w:rsidR="00881B5C" w:rsidRPr="00573EF8">
        <w:rPr>
          <w:rFonts w:ascii="Traditional Arabic" w:hAnsi="Traditional Arabic"/>
          <w:sz w:val="32"/>
          <w:rtl/>
          <w:lang w:bidi="ar-EG"/>
        </w:rPr>
        <w:t xml:space="preserve"> الباحث عمومًا، والباحث في تداخل العلوم </w:t>
      </w:r>
      <w:r w:rsidR="00573EF8" w:rsidRPr="00573EF8">
        <w:rPr>
          <w:rFonts w:ascii="Traditional Arabic" w:hAnsi="Traditional Arabic"/>
          <w:sz w:val="32"/>
          <w:rtl/>
          <w:lang w:bidi="ar-EG"/>
        </w:rPr>
        <w:t>-</w:t>
      </w:r>
      <w:r w:rsidR="00881B5C" w:rsidRPr="00573EF8">
        <w:rPr>
          <w:rFonts w:ascii="Traditional Arabic" w:hAnsi="Traditional Arabic"/>
          <w:sz w:val="32"/>
          <w:rtl/>
          <w:lang w:bidi="ar-EG"/>
        </w:rPr>
        <w:t xml:space="preserve"> خصوصًا -، و</w:t>
      </w:r>
      <w:r w:rsidR="00573EF8" w:rsidRPr="00573EF8">
        <w:rPr>
          <w:rFonts w:ascii="Traditional Arabic" w:hAnsi="Traditional Arabic"/>
          <w:sz w:val="32"/>
          <w:rtl/>
          <w:lang w:bidi="ar-EG"/>
        </w:rPr>
        <w:t xml:space="preserve">سيجد فيه المتخصص في الدراسات القرآنية بحثًا </w:t>
      </w:r>
      <w:r w:rsidR="003B4010">
        <w:rPr>
          <w:rFonts w:ascii="Traditional Arabic" w:hAnsi="Traditional Arabic" w:hint="cs"/>
          <w:sz w:val="32"/>
          <w:rtl/>
          <w:lang w:bidi="ar-EG"/>
        </w:rPr>
        <w:t xml:space="preserve">جديدًا </w:t>
      </w:r>
      <w:r w:rsidR="00573EF8" w:rsidRPr="00573EF8">
        <w:rPr>
          <w:rFonts w:ascii="Traditional Arabic" w:hAnsi="Traditional Arabic"/>
          <w:sz w:val="32"/>
          <w:rtl/>
          <w:lang w:bidi="ar-EG"/>
        </w:rPr>
        <w:t>جيدًا يوقفه على أهمية معرفة الاشتغال العقائدي للمفسر، وأثره على منهجه في التفسير</w:t>
      </w:r>
      <w:r w:rsidR="003B4010">
        <w:rPr>
          <w:rFonts w:ascii="Traditional Arabic" w:hAnsi="Traditional Arabic" w:hint="cs"/>
          <w:sz w:val="32"/>
          <w:rtl/>
          <w:lang w:bidi="ar-EG"/>
        </w:rPr>
        <w:t xml:space="preserve">، كما يوقفه على فوائد متعددة في تاريخ علم التفسير، والتطورات الحاصلة في المدونة </w:t>
      </w:r>
      <w:proofErr w:type="gramStart"/>
      <w:r w:rsidR="003B4010">
        <w:rPr>
          <w:rFonts w:ascii="Traditional Arabic" w:hAnsi="Traditional Arabic" w:hint="cs"/>
          <w:sz w:val="32"/>
          <w:rtl/>
          <w:lang w:bidi="ar-EG"/>
        </w:rPr>
        <w:t>التفسيرية</w:t>
      </w:r>
      <w:r w:rsidR="00573EF8" w:rsidRPr="00573EF8">
        <w:rPr>
          <w:rFonts w:ascii="Traditional Arabic" w:hAnsi="Traditional Arabic"/>
          <w:sz w:val="32"/>
          <w:rtl/>
          <w:lang w:bidi="ar-EG"/>
        </w:rPr>
        <w:t xml:space="preserve"> .</w:t>
      </w:r>
      <w:proofErr w:type="gramEnd"/>
    </w:p>
    <w:sectPr w:rsidR="00881B5C" w:rsidRPr="00573EF8" w:rsidSect="004A0DA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19443" w14:textId="77777777" w:rsidR="00DE31FA" w:rsidRDefault="00DE31FA" w:rsidP="00FA4291">
      <w:pPr>
        <w:spacing w:after="0" w:line="240" w:lineRule="auto"/>
      </w:pPr>
      <w:r>
        <w:separator/>
      </w:r>
    </w:p>
  </w:endnote>
  <w:endnote w:type="continuationSeparator" w:id="0">
    <w:p w14:paraId="0C98E7E9" w14:textId="77777777" w:rsidR="00DE31FA" w:rsidRDefault="00DE31FA" w:rsidP="00FA4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83B57" w14:textId="77777777" w:rsidR="00DE31FA" w:rsidRDefault="00DE31FA" w:rsidP="00FA4291">
      <w:pPr>
        <w:spacing w:after="0" w:line="240" w:lineRule="auto"/>
      </w:pPr>
      <w:r>
        <w:separator/>
      </w:r>
    </w:p>
  </w:footnote>
  <w:footnote w:type="continuationSeparator" w:id="0">
    <w:p w14:paraId="06F1B250" w14:textId="77777777" w:rsidR="00DE31FA" w:rsidRDefault="00DE31FA" w:rsidP="00FA4291">
      <w:pPr>
        <w:spacing w:after="0" w:line="240" w:lineRule="auto"/>
      </w:pPr>
      <w:r>
        <w:continuationSeparator/>
      </w:r>
    </w:p>
  </w:footnote>
  <w:footnote w:id="1">
    <w:p w14:paraId="55AFE7CC" w14:textId="77777777" w:rsidR="00573EF8" w:rsidRPr="00D824E6" w:rsidRDefault="00573EF8" w:rsidP="00FD53F3">
      <w:pPr>
        <w:pStyle w:val="a3"/>
        <w:jc w:val="lowKashida"/>
        <w:rPr>
          <w:rFonts w:ascii="Traditional Arabic" w:hAnsi="Traditional Arabic" w:cs="Traditional Arabic"/>
          <w:sz w:val="28"/>
          <w:szCs w:val="28"/>
          <w:rtl/>
          <w:lang w:bidi="ar-EG"/>
        </w:rPr>
      </w:pPr>
      <w:r w:rsidRPr="00D824E6">
        <w:rPr>
          <w:rStyle w:val="a4"/>
          <w:rFonts w:ascii="Traditional Arabic" w:hAnsi="Traditional Arabic" w:cs="Traditional Arabic"/>
          <w:sz w:val="28"/>
          <w:szCs w:val="28"/>
          <w:vertAlign w:val="baseline"/>
        </w:rPr>
        <w:footnoteRef/>
      </w:r>
      <w:r w:rsidRPr="00D824E6">
        <w:rPr>
          <w:rFonts w:ascii="Traditional Arabic" w:hAnsi="Traditional Arabic" w:cs="Traditional Arabic"/>
          <w:sz w:val="28"/>
          <w:szCs w:val="28"/>
        </w:rPr>
        <w:t>)</w:t>
      </w:r>
      <w:r w:rsidRPr="00D824E6">
        <w:rPr>
          <w:rFonts w:ascii="Traditional Arabic" w:hAnsi="Traditional Arabic" w:cs="Traditional Arabic" w:hint="cs"/>
          <w:sz w:val="28"/>
          <w:szCs w:val="28"/>
          <w:rtl/>
        </w:rPr>
        <w:t>)</w:t>
      </w:r>
      <w:r w:rsidRPr="00D824E6">
        <w:rPr>
          <w:rFonts w:ascii="Traditional Arabic" w:hAnsi="Traditional Arabic" w:cs="Traditional Arabic"/>
          <w:sz w:val="28"/>
          <w:szCs w:val="28"/>
          <w:rtl/>
        </w:rPr>
        <w:t xml:space="preserve"> </w:t>
      </w:r>
      <w:r>
        <w:rPr>
          <w:rFonts w:ascii="Traditional Arabic" w:hAnsi="Traditional Arabic" w:cs="Traditional Arabic" w:hint="cs"/>
          <w:sz w:val="28"/>
          <w:szCs w:val="28"/>
          <w:rtl/>
          <w:lang w:bidi="ar-EG"/>
        </w:rPr>
        <w:t xml:space="preserve">تنبيه: كل ما كان بين علامتي التنصيص (") فهو من كلام </w:t>
      </w:r>
      <w:proofErr w:type="gramStart"/>
      <w:r>
        <w:rPr>
          <w:rFonts w:ascii="Traditional Arabic" w:hAnsi="Traditional Arabic" w:cs="Traditional Arabic" w:hint="cs"/>
          <w:sz w:val="28"/>
          <w:szCs w:val="28"/>
          <w:rtl/>
          <w:lang w:bidi="ar-EG"/>
        </w:rPr>
        <w:t>المؤلف .</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17282"/>
    <w:multiLevelType w:val="hybridMultilevel"/>
    <w:tmpl w:val="58B812EC"/>
    <w:lvl w:ilvl="0" w:tplc="776E5586">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68B2"/>
    <w:rsid w:val="000A01ED"/>
    <w:rsid w:val="000F3782"/>
    <w:rsid w:val="00137735"/>
    <w:rsid w:val="001E3144"/>
    <w:rsid w:val="001F7E3E"/>
    <w:rsid w:val="002168B2"/>
    <w:rsid w:val="003B4010"/>
    <w:rsid w:val="00430A32"/>
    <w:rsid w:val="00444FD3"/>
    <w:rsid w:val="00490740"/>
    <w:rsid w:val="004A0DA0"/>
    <w:rsid w:val="00573EF8"/>
    <w:rsid w:val="00592AD6"/>
    <w:rsid w:val="005979FA"/>
    <w:rsid w:val="005C144A"/>
    <w:rsid w:val="007310EA"/>
    <w:rsid w:val="0074762F"/>
    <w:rsid w:val="00803F0E"/>
    <w:rsid w:val="00881B5C"/>
    <w:rsid w:val="0095049C"/>
    <w:rsid w:val="009D27B1"/>
    <w:rsid w:val="00B00AE9"/>
    <w:rsid w:val="00BF005F"/>
    <w:rsid w:val="00DE31FA"/>
    <w:rsid w:val="00EF4175"/>
    <w:rsid w:val="00FA4291"/>
    <w:rsid w:val="00FD53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F3B03"/>
  <w15:docId w15:val="{CE04FC32-BE10-4BAA-BFF5-78D5C4FB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raditional Arabic"/>
        <w:sz w:val="22"/>
        <w:szCs w:val="3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FA4291"/>
    <w:pPr>
      <w:spacing w:after="0" w:line="240" w:lineRule="auto"/>
    </w:pPr>
    <w:rPr>
      <w:rFonts w:cstheme="minorBidi"/>
      <w:sz w:val="20"/>
      <w:szCs w:val="20"/>
    </w:rPr>
  </w:style>
  <w:style w:type="character" w:customStyle="1" w:styleId="Char">
    <w:name w:val="نص حاشية سفلية Char"/>
    <w:basedOn w:val="a0"/>
    <w:link w:val="a3"/>
    <w:uiPriority w:val="99"/>
    <w:semiHidden/>
    <w:rsid w:val="00FA4291"/>
    <w:rPr>
      <w:rFonts w:cstheme="minorBidi"/>
      <w:sz w:val="20"/>
      <w:szCs w:val="20"/>
    </w:rPr>
  </w:style>
  <w:style w:type="character" w:styleId="a4">
    <w:name w:val="footnote reference"/>
    <w:basedOn w:val="a0"/>
    <w:uiPriority w:val="99"/>
    <w:semiHidden/>
    <w:unhideWhenUsed/>
    <w:rsid w:val="00FA4291"/>
    <w:rPr>
      <w:vertAlign w:val="superscript"/>
    </w:rPr>
  </w:style>
  <w:style w:type="paragraph" w:styleId="a5">
    <w:name w:val="List Paragraph"/>
    <w:basedOn w:val="a"/>
    <w:uiPriority w:val="34"/>
    <w:qFormat/>
    <w:rsid w:val="00FD53F3"/>
    <w:pPr>
      <w:ind w:left="720"/>
      <w:contextualSpacing/>
    </w:pPr>
  </w:style>
  <w:style w:type="paragraph" w:styleId="a6">
    <w:name w:val="header"/>
    <w:basedOn w:val="a"/>
    <w:link w:val="Char0"/>
    <w:uiPriority w:val="99"/>
    <w:unhideWhenUsed/>
    <w:rsid w:val="009D27B1"/>
    <w:pPr>
      <w:tabs>
        <w:tab w:val="center" w:pos="4153"/>
        <w:tab w:val="right" w:pos="8306"/>
      </w:tabs>
      <w:spacing w:after="0" w:line="240" w:lineRule="auto"/>
    </w:pPr>
  </w:style>
  <w:style w:type="character" w:customStyle="1" w:styleId="Char0">
    <w:name w:val="رأس الصفحة Char"/>
    <w:basedOn w:val="a0"/>
    <w:link w:val="a6"/>
    <w:uiPriority w:val="99"/>
    <w:rsid w:val="009D27B1"/>
  </w:style>
  <w:style w:type="paragraph" w:styleId="a7">
    <w:name w:val="footer"/>
    <w:basedOn w:val="a"/>
    <w:link w:val="Char1"/>
    <w:uiPriority w:val="99"/>
    <w:unhideWhenUsed/>
    <w:rsid w:val="009D27B1"/>
    <w:pPr>
      <w:tabs>
        <w:tab w:val="center" w:pos="4153"/>
        <w:tab w:val="right" w:pos="8306"/>
      </w:tabs>
      <w:spacing w:after="0" w:line="240" w:lineRule="auto"/>
    </w:pPr>
  </w:style>
  <w:style w:type="character" w:customStyle="1" w:styleId="Char1">
    <w:name w:val="تذييل الصفحة Char"/>
    <w:basedOn w:val="a0"/>
    <w:link w:val="a7"/>
    <w:uiPriority w:val="99"/>
    <w:rsid w:val="009D27B1"/>
  </w:style>
  <w:style w:type="table" w:styleId="a8">
    <w:name w:val="Table Grid"/>
    <w:basedOn w:val="a1"/>
    <w:uiPriority w:val="59"/>
    <w:rsid w:val="00881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10</Pages>
  <Words>2096</Words>
  <Characters>11953</Characters>
  <Application>Microsoft Office Word</Application>
  <DocSecurity>0</DocSecurity>
  <Lines>99</Lines>
  <Paragraphs>28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عمرو الشرقاوي</dc:creator>
  <cp:keywords/>
  <dc:description/>
  <cp:lastModifiedBy>باسل محمد مؤنس</cp:lastModifiedBy>
  <cp:revision>5</cp:revision>
  <dcterms:created xsi:type="dcterms:W3CDTF">2016-01-06T19:26:00Z</dcterms:created>
  <dcterms:modified xsi:type="dcterms:W3CDTF">2020-12-26T03:30:00Z</dcterms:modified>
</cp:coreProperties>
</file>